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tabs>
          <w:tab w:leader="none" w:pos="8040" w:val="left"/>
        </w:tabs>
        <w:rPr>
          <w:sz w:val="20"/>
          <w:szCs w:val="20"/>
          <w:color w:val="auto"/>
        </w:rPr>
      </w:pPr>
      <w:r>
        <w:rPr>
          <w:rFonts w:ascii="Arial" w:cs="Arial" w:eastAsia="Arial" w:hAnsi="Arial"/>
          <w:sz w:val="24"/>
          <w:szCs w:val="24"/>
          <w:b w:val="1"/>
          <w:bCs w:val="1"/>
          <w:color w:val="auto"/>
        </w:rPr>
        <w:t>Segunda-feira, 14 de Março de 2022</w:t>
      </w:r>
      <w:r>
        <w:rPr>
          <w:sz w:val="20"/>
          <w:szCs w:val="20"/>
          <w:color w:val="auto"/>
        </w:rPr>
        <w:tab/>
      </w:r>
      <w:r>
        <w:rPr>
          <w:rFonts w:ascii="Arial" w:cs="Arial" w:eastAsia="Arial" w:hAnsi="Arial"/>
          <w:sz w:val="23"/>
          <w:szCs w:val="23"/>
          <w:b w:val="1"/>
          <w:bCs w:val="1"/>
          <w:color w:val="auto"/>
        </w:rPr>
        <w:t>I SÉRIE —­ Número 50</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-5715</wp:posOffset>
            </wp:positionH>
            <wp:positionV relativeFrom="paragraph">
              <wp:posOffset>36830</wp:posOffset>
            </wp:positionV>
            <wp:extent cx="6702425" cy="17233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702425" cy="1723390"/>
                    </a:xfrm>
                    <a:prstGeom prst="rect">
                      <a:avLst/>
                    </a:prstGeom>
                    <a:noFill/>
                  </pic:spPr>
                </pic:pic>
              </a:graphicData>
            </a:graphic>
          </wp:anchor>
        </w:drawing>
      </w:r>
    </w:p>
    <w:p>
      <w:pPr>
        <w:sectPr>
          <w:pgSz w:w="11900" w:h="16838" w:orient="portrait"/>
          <w:cols w:equalWidth="0" w:num="1">
            <w:col w:w="10540"/>
          </w:cols>
          <w:pgMar w:left="680" w:top="771" w:right="686" w:bottom="58"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4" w:lineRule="exact"/>
        <w:rPr>
          <w:sz w:val="24"/>
          <w:szCs w:val="24"/>
          <w:color w:val="auto"/>
        </w:rPr>
      </w:pPr>
    </w:p>
    <w:p>
      <w:pPr>
        <w:ind w:left="200"/>
        <w:spacing w:after="0"/>
        <w:rPr>
          <w:sz w:val="20"/>
          <w:szCs w:val="20"/>
          <w:color w:val="auto"/>
        </w:rPr>
      </w:pPr>
      <w:r>
        <w:rPr>
          <w:rFonts w:ascii="Arial" w:cs="Arial" w:eastAsia="Arial" w:hAnsi="Arial"/>
          <w:sz w:val="20"/>
          <w:szCs w:val="20"/>
          <w:b w:val="1"/>
          <w:bCs w:val="1"/>
          <w:color w:val="auto"/>
        </w:rPr>
        <w:t>IMPRENSA NACIONAL DE MOÇAMBIQUE, E. P.</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1438910</wp:posOffset>
                </wp:positionH>
                <wp:positionV relativeFrom="paragraph">
                  <wp:posOffset>220345</wp:posOffset>
                </wp:positionV>
                <wp:extent cx="37084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7084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3.3pt,17.35pt" to="142.5pt,17.35pt" o:allowincell="f" strokecolor="#000000" strokeweight="0.5pt"/>
            </w:pict>
          </mc:Fallback>
        </mc:AlternateContent>
      </w:r>
    </w:p>
    <w:p>
      <w:pPr>
        <w:spacing w:after="0" w:line="200" w:lineRule="exact"/>
        <w:rPr>
          <w:sz w:val="24"/>
          <w:szCs w:val="24"/>
          <w:color w:val="auto"/>
        </w:rPr>
      </w:pPr>
    </w:p>
    <w:p>
      <w:pPr>
        <w:spacing w:after="0" w:line="325" w:lineRule="exact"/>
        <w:rPr>
          <w:sz w:val="24"/>
          <w:szCs w:val="24"/>
          <w:color w:val="auto"/>
        </w:rPr>
      </w:pPr>
    </w:p>
    <w:p>
      <w:pPr>
        <w:ind w:left="2160"/>
        <w:spacing w:after="0"/>
        <w:rPr>
          <w:sz w:val="20"/>
          <w:szCs w:val="20"/>
          <w:color w:val="auto"/>
        </w:rPr>
      </w:pPr>
      <w:r>
        <w:rPr>
          <w:rFonts w:ascii="Arial" w:cs="Arial" w:eastAsia="Arial" w:hAnsi="Arial"/>
          <w:sz w:val="18"/>
          <w:szCs w:val="18"/>
          <w:b w:val="1"/>
          <w:bCs w:val="1"/>
          <w:color w:val="auto"/>
        </w:rPr>
        <w:t>A V I S O</w:t>
      </w:r>
    </w:p>
    <w:p>
      <w:pPr>
        <w:spacing w:after="0" w:line="96" w:lineRule="exact"/>
        <w:rPr>
          <w:sz w:val="24"/>
          <w:szCs w:val="24"/>
          <w:color w:val="auto"/>
        </w:rPr>
      </w:pPr>
    </w:p>
    <w:p>
      <w:pPr>
        <w:jc w:val="both"/>
        <w:ind w:firstLine="227"/>
        <w:spacing w:after="0" w:line="276" w:lineRule="auto"/>
        <w:tabs>
          <w:tab w:leader="none" w:pos="487" w:val="left"/>
        </w:tabs>
        <w:numPr>
          <w:ilvl w:val="0"/>
          <w:numId w:val="1"/>
        </w:numPr>
        <w:rPr>
          <w:rFonts w:ascii="Arial" w:cs="Arial" w:eastAsia="Arial" w:hAnsi="Arial"/>
          <w:sz w:val="18"/>
          <w:szCs w:val="18"/>
          <w:color w:val="auto"/>
        </w:rPr>
      </w:pPr>
      <w:r>
        <w:rPr>
          <w:rFonts w:ascii="Arial" w:cs="Arial" w:eastAsia="Arial" w:hAnsi="Arial"/>
          <w:sz w:val="18"/>
          <w:szCs w:val="18"/>
          <w:color w:val="auto"/>
        </w:rPr>
        <w:t>matéria a publicar no «Boletim da República» deve ser remetida em cópia devidamente autenticada, uma por cada assunto, donde conste, além das indicações necessárias para esse efeito, o averbamento seguinte, assinado e autenticado:</w:t>
      </w:r>
    </w:p>
    <w:p>
      <w:pPr>
        <w:spacing w:after="0" w:line="1" w:lineRule="exact"/>
        <w:rPr>
          <w:rFonts w:ascii="Arial" w:cs="Arial" w:eastAsia="Arial" w:hAnsi="Arial"/>
          <w:sz w:val="18"/>
          <w:szCs w:val="18"/>
          <w:color w:val="auto"/>
        </w:rPr>
      </w:pPr>
    </w:p>
    <w:p>
      <w:pPr>
        <w:spacing w:after="0"/>
        <w:rPr>
          <w:rFonts w:ascii="Arial" w:cs="Arial" w:eastAsia="Arial" w:hAnsi="Arial"/>
          <w:sz w:val="18"/>
          <w:szCs w:val="18"/>
          <w:color w:val="auto"/>
        </w:rPr>
      </w:pPr>
      <w:r>
        <w:rPr>
          <w:rFonts w:ascii="Arial" w:cs="Arial" w:eastAsia="Arial" w:hAnsi="Arial"/>
          <w:sz w:val="18"/>
          <w:szCs w:val="18"/>
          <w:b w:val="1"/>
          <w:bCs w:val="1"/>
          <w:color w:val="auto"/>
        </w:rPr>
        <w:t>Para publicação no «Boletim da República».</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197485</wp:posOffset>
                </wp:positionV>
                <wp:extent cx="32258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2580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55pt" to="254pt,15.55pt" o:allowincell="f" strokecolor="#000000" strokeweight="0.5pt"/>
            </w:pict>
          </mc:Fallback>
        </mc:AlternateContent>
        <w:drawing>
          <wp:anchor simplePos="0" relativeHeight="251657728" behindDoc="1" locked="0" layoutInCell="0" allowOverlap="1">
            <wp:simplePos x="0" y="0"/>
            <wp:positionH relativeFrom="column">
              <wp:posOffset>123190</wp:posOffset>
            </wp:positionH>
            <wp:positionV relativeFrom="paragraph">
              <wp:posOffset>273685</wp:posOffset>
            </wp:positionV>
            <wp:extent cx="3026410" cy="508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extLst>
                    </a:blip>
                    <a:srcRect/>
                    <a:stretch>
                      <a:fillRect/>
                    </a:stretch>
                  </pic:blipFill>
                  <pic:spPr bwMode="auto">
                    <a:xfrm>
                      <a:off x="0" y="0"/>
                      <a:ext cx="3026410" cy="50800"/>
                    </a:xfrm>
                    <a:prstGeom prst="rect">
                      <a:avLst/>
                    </a:prstGeom>
                    <a:noFill/>
                  </pic:spPr>
                </pic:pic>
              </a:graphicData>
            </a:graphic>
          </wp:anchor>
        </w:drawing>
        <mc:AlternateContent>
          <mc:Choice Requires="wps">
            <w:drawing>
              <wp:anchor simplePos="0" relativeHeight="251657728" behindDoc="1" locked="0" layoutInCell="0" allowOverlap="1">
                <wp:simplePos x="0" y="0"/>
                <wp:positionH relativeFrom="column">
                  <wp:posOffset>-2540</wp:posOffset>
                </wp:positionH>
                <wp:positionV relativeFrom="paragraph">
                  <wp:posOffset>393065</wp:posOffset>
                </wp:positionV>
                <wp:extent cx="323024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3024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30.95pt" to="254.15pt,30.95pt" o:allowincell="f" strokecolor="#000000" strokeweight="0.5pt"/>
            </w:pict>
          </mc:Fallback>
        </mc:AlternateContent>
      </w:r>
    </w:p>
    <w:p>
      <w:pPr>
        <w:spacing w:after="0" w:line="200" w:lineRule="exact"/>
        <w:rPr>
          <w:sz w:val="24"/>
          <w:szCs w:val="24"/>
          <w:color w:val="auto"/>
        </w:rPr>
      </w:pPr>
    </w:p>
    <w:p>
      <w:pPr>
        <w:spacing w:after="0" w:line="200" w:lineRule="exact"/>
        <w:rPr>
          <w:sz w:val="24"/>
          <w:szCs w:val="24"/>
          <w:color w:val="auto"/>
        </w:rPr>
      </w:pPr>
    </w:p>
    <w:p>
      <w:pPr>
        <w:spacing w:after="0" w:line="356" w:lineRule="exact"/>
        <w:rPr>
          <w:sz w:val="24"/>
          <w:szCs w:val="24"/>
          <w:color w:val="auto"/>
        </w:rPr>
      </w:pPr>
    </w:p>
    <w:p>
      <w:pPr>
        <w:ind w:left="1920"/>
        <w:spacing w:after="0"/>
        <w:rPr>
          <w:sz w:val="20"/>
          <w:szCs w:val="20"/>
          <w:color w:val="auto"/>
        </w:rPr>
      </w:pPr>
      <w:r>
        <w:rPr>
          <w:rFonts w:ascii="Arial" w:cs="Arial" w:eastAsia="Arial" w:hAnsi="Arial"/>
          <w:sz w:val="24"/>
          <w:szCs w:val="24"/>
          <w:b w:val="1"/>
          <w:bCs w:val="1"/>
          <w:color w:val="auto"/>
        </w:rPr>
        <w:t>SUMÁRIO</w:t>
      </w:r>
    </w:p>
    <w:p>
      <w:pPr>
        <w:spacing w:after="0" w:line="251" w:lineRule="exact"/>
        <w:rPr>
          <w:sz w:val="24"/>
          <w:szCs w:val="24"/>
          <w:color w:val="auto"/>
        </w:rPr>
      </w:pPr>
    </w:p>
    <w:p>
      <w:pPr>
        <w:ind w:left="220"/>
        <w:spacing w:after="0"/>
        <w:rPr>
          <w:sz w:val="20"/>
          <w:szCs w:val="20"/>
          <w:color w:val="auto"/>
        </w:rPr>
      </w:pPr>
      <w:r>
        <w:rPr>
          <w:rFonts w:ascii="Arial" w:cs="Arial" w:eastAsia="Arial" w:hAnsi="Arial"/>
          <w:sz w:val="20"/>
          <w:szCs w:val="20"/>
          <w:color w:val="auto"/>
        </w:rPr>
        <w:t>Conselho de Ministros:</w:t>
      </w:r>
    </w:p>
    <w:p>
      <w:pPr>
        <w:spacing w:after="0" w:line="123" w:lineRule="exact"/>
        <w:rPr>
          <w:sz w:val="24"/>
          <w:szCs w:val="24"/>
          <w:color w:val="auto"/>
        </w:rPr>
      </w:pPr>
    </w:p>
    <w:p>
      <w:pPr>
        <w:spacing w:after="0"/>
        <w:rPr>
          <w:sz w:val="20"/>
          <w:szCs w:val="20"/>
          <w:color w:val="auto"/>
        </w:rPr>
      </w:pPr>
      <w:r>
        <w:rPr>
          <w:rFonts w:ascii="Arial" w:cs="Arial" w:eastAsia="Arial" w:hAnsi="Arial"/>
          <w:sz w:val="16"/>
          <w:szCs w:val="16"/>
          <w:b w:val="1"/>
          <w:bCs w:val="1"/>
          <w:color w:val="auto"/>
        </w:rPr>
        <w:t>Decreto n</w:t>
      </w:r>
      <w:r>
        <w:rPr>
          <w:rFonts w:ascii="Times New Roman" w:cs="Times New Roman" w:eastAsia="Times New Roman" w:hAnsi="Times New Roman"/>
          <w:sz w:val="16"/>
          <w:szCs w:val="16"/>
          <w:b w:val="1"/>
          <w:bCs w:val="1"/>
          <w:color w:val="auto"/>
        </w:rPr>
        <w:t>.º</w:t>
      </w:r>
      <w:r>
        <w:rPr>
          <w:rFonts w:ascii="Arial" w:cs="Arial" w:eastAsia="Arial" w:hAnsi="Arial"/>
          <w:sz w:val="16"/>
          <w:szCs w:val="16"/>
          <w:b w:val="1"/>
          <w:bCs w:val="1"/>
          <w:color w:val="auto"/>
        </w:rPr>
        <w:t xml:space="preserve"> 8/2022:</w:t>
      </w:r>
    </w:p>
    <w:p>
      <w:pPr>
        <w:spacing w:after="0" w:line="113" w:lineRule="exact"/>
        <w:rPr>
          <w:sz w:val="24"/>
          <w:szCs w:val="24"/>
          <w:color w:val="auto"/>
        </w:rPr>
      </w:pPr>
    </w:p>
    <w:p>
      <w:pPr>
        <w:jc w:val="both"/>
        <w:ind w:left="840" w:hanging="396"/>
        <w:spacing w:after="0" w:line="254" w:lineRule="auto"/>
        <w:rPr>
          <w:sz w:val="20"/>
          <w:szCs w:val="20"/>
          <w:color w:val="auto"/>
        </w:rPr>
      </w:pPr>
      <w:r>
        <w:rPr>
          <w:rFonts w:ascii="Times New Roman" w:cs="Times New Roman" w:eastAsia="Times New Roman" w:hAnsi="Times New Roman"/>
          <w:sz w:val="18"/>
          <w:szCs w:val="18"/>
          <w:color w:val="auto"/>
        </w:rPr>
        <w:t>Aprova o Regulamento de Normalização e Avaliação da Conformidade e revoga os Decretos n.º 59/2009, de 8 de Outubro e n.º 19/2010, de 30 de Junho.</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5" w:lineRule="exact"/>
        <w:rPr>
          <w:sz w:val="24"/>
          <w:szCs w:val="24"/>
          <w:color w:val="auto"/>
        </w:rPr>
      </w:pPr>
    </w:p>
    <w:p>
      <w:pPr>
        <w:jc w:val="center"/>
        <w:ind w:right="-99"/>
        <w:spacing w:after="0" w:line="277" w:lineRule="auto"/>
        <w:rPr>
          <w:sz w:val="20"/>
          <w:szCs w:val="20"/>
          <w:color w:val="auto"/>
        </w:rPr>
      </w:pPr>
      <w:r>
        <w:rPr>
          <w:rFonts w:ascii="Arial" w:cs="Arial" w:eastAsia="Arial" w:hAnsi="Arial"/>
          <w:sz w:val="24"/>
          <w:szCs w:val="24"/>
          <w:b w:val="1"/>
          <w:bCs w:val="1"/>
          <w:color w:val="auto"/>
        </w:rPr>
        <w:t>Regulamento de Normalização e Avaliação da Conformidade</w:t>
      </w:r>
    </w:p>
    <w:p>
      <w:pPr>
        <w:spacing w:after="0" w:line="20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0"/>
          <w:szCs w:val="20"/>
          <w:color w:val="auto"/>
        </w:rPr>
        <w:t>CAPÍTULO I</w:t>
      </w:r>
    </w:p>
    <w:p>
      <w:pPr>
        <w:spacing w:after="0" w:line="110" w:lineRule="exact"/>
        <w:rPr>
          <w:sz w:val="24"/>
          <w:szCs w:val="24"/>
          <w:color w:val="auto"/>
        </w:rPr>
      </w:pPr>
    </w:p>
    <w:p>
      <w:pPr>
        <w:jc w:val="center"/>
        <w:spacing w:after="0"/>
        <w:rPr>
          <w:sz w:val="20"/>
          <w:szCs w:val="20"/>
          <w:color w:val="auto"/>
        </w:rPr>
      </w:pPr>
      <w:r>
        <w:rPr>
          <w:rFonts w:ascii="Arial" w:cs="Arial" w:eastAsia="Arial" w:hAnsi="Arial"/>
          <w:sz w:val="18"/>
          <w:szCs w:val="18"/>
          <w:b w:val="1"/>
          <w:bCs w:val="1"/>
          <w:color w:val="auto"/>
        </w:rPr>
        <w:t>Disposições gerais</w:t>
      </w:r>
    </w:p>
    <w:p>
      <w:pPr>
        <w:spacing w:after="0" w:line="7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1</w:t>
      </w:r>
    </w:p>
    <w:p>
      <w:pPr>
        <w:spacing w:after="0" w:line="129" w:lineRule="exact"/>
        <w:rPr>
          <w:sz w:val="24"/>
          <w:szCs w:val="24"/>
          <w:color w:val="auto"/>
        </w:rPr>
      </w:pPr>
    </w:p>
    <w:p>
      <w:pPr>
        <w:ind w:left="2080"/>
        <w:spacing w:after="0"/>
        <w:rPr>
          <w:sz w:val="20"/>
          <w:szCs w:val="20"/>
          <w:color w:val="auto"/>
        </w:rPr>
      </w:pPr>
      <w:r>
        <w:rPr>
          <w:rFonts w:ascii="Arial" w:cs="Arial" w:eastAsia="Arial" w:hAnsi="Arial"/>
          <w:sz w:val="16"/>
          <w:szCs w:val="16"/>
          <w:b w:val="1"/>
          <w:bCs w:val="1"/>
          <w:color w:val="auto"/>
        </w:rPr>
        <w:t>(Definições)</w:t>
      </w:r>
    </w:p>
    <w:p>
      <w:pPr>
        <w:spacing w:after="0" w:line="134" w:lineRule="exact"/>
        <w:rPr>
          <w:sz w:val="24"/>
          <w:szCs w:val="24"/>
          <w:color w:val="auto"/>
        </w:rPr>
      </w:pPr>
    </w:p>
    <w:p>
      <w:pPr>
        <w:jc w:val="both"/>
        <w:ind w:firstLine="227"/>
        <w:spacing w:after="0" w:line="239" w:lineRule="auto"/>
        <w:rPr>
          <w:sz w:val="20"/>
          <w:szCs w:val="20"/>
          <w:color w:val="auto"/>
        </w:rPr>
      </w:pPr>
      <w:r>
        <w:rPr>
          <w:rFonts w:ascii="Arial" w:cs="Arial" w:eastAsia="Arial" w:hAnsi="Arial"/>
          <w:sz w:val="20"/>
          <w:szCs w:val="20"/>
          <w:color w:val="auto"/>
        </w:rPr>
        <w:t xml:space="preserve">O significado dos termos utilizados no presente Regulamento </w:t>
      </w:r>
      <w:r>
        <w:rPr>
          <w:rFonts w:ascii="Times New Roman" w:cs="Times New Roman" w:eastAsia="Times New Roman" w:hAnsi="Times New Roman"/>
          <w:sz w:val="20"/>
          <w:szCs w:val="20"/>
          <w:color w:val="auto"/>
        </w:rPr>
        <w:t>consta do glossário, anexo ao presente Regulamento e que dele faz parte integrante.</w:t>
      </w:r>
    </w:p>
    <w:p>
      <w:pPr>
        <w:spacing w:after="0" w:line="115" w:lineRule="exact"/>
        <w:rPr>
          <w:sz w:val="24"/>
          <w:szCs w:val="24"/>
          <w:color w:val="auto"/>
        </w:rPr>
      </w:pPr>
    </w:p>
    <w:p>
      <w:pPr>
        <w:ind w:left="218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2</w:t>
      </w:r>
    </w:p>
    <w:p>
      <w:pPr>
        <w:spacing w:after="0" w:line="129" w:lineRule="exact"/>
        <w:rPr>
          <w:sz w:val="24"/>
          <w:szCs w:val="24"/>
          <w:color w:val="auto"/>
        </w:rPr>
      </w:pPr>
    </w:p>
    <w:p>
      <w:pPr>
        <w:ind w:left="2200"/>
        <w:spacing w:after="0"/>
        <w:rPr>
          <w:sz w:val="20"/>
          <w:szCs w:val="20"/>
          <w:color w:val="auto"/>
        </w:rPr>
      </w:pPr>
      <w:r>
        <w:rPr>
          <w:rFonts w:ascii="Arial" w:cs="Arial" w:eastAsia="Arial" w:hAnsi="Arial"/>
          <w:sz w:val="16"/>
          <w:szCs w:val="16"/>
          <w:b w:val="1"/>
          <w:bCs w:val="1"/>
          <w:color w:val="auto"/>
        </w:rPr>
        <w:t>(Objecto)</w:t>
      </w:r>
    </w:p>
    <w:p>
      <w:pPr>
        <w:spacing w:after="0" w:line="134" w:lineRule="exact"/>
        <w:rPr>
          <w:sz w:val="24"/>
          <w:szCs w:val="24"/>
          <w:color w:val="auto"/>
        </w:rPr>
      </w:pPr>
    </w:p>
    <w:p>
      <w:pPr>
        <w:jc w:val="both"/>
        <w:ind w:firstLine="227"/>
        <w:spacing w:after="0" w:line="239" w:lineRule="auto"/>
        <w:rPr>
          <w:sz w:val="20"/>
          <w:szCs w:val="20"/>
          <w:color w:val="auto"/>
        </w:rPr>
      </w:pPr>
      <w:r>
        <w:rPr>
          <w:rFonts w:ascii="Times New Roman" w:cs="Times New Roman" w:eastAsia="Times New Roman" w:hAnsi="Times New Roman"/>
          <w:sz w:val="20"/>
          <w:szCs w:val="20"/>
          <w:color w:val="auto"/>
        </w:rPr>
        <w:t>O presente Regulamento estabelece o regime Jurídico das actividades de normalização e a avaliação da conformidade.</w:t>
      </w:r>
    </w:p>
    <w:p>
      <w:pPr>
        <w:spacing w:after="0" w:line="17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3</w:t>
      </w:r>
    </w:p>
    <w:p>
      <w:pPr>
        <w:spacing w:after="0" w:line="129" w:lineRule="exact"/>
        <w:rPr>
          <w:sz w:val="24"/>
          <w:szCs w:val="24"/>
          <w:color w:val="auto"/>
        </w:rPr>
      </w:pPr>
    </w:p>
    <w:p>
      <w:pPr>
        <w:ind w:left="1700"/>
        <w:spacing w:after="0"/>
        <w:rPr>
          <w:sz w:val="20"/>
          <w:szCs w:val="20"/>
          <w:color w:val="auto"/>
        </w:rPr>
      </w:pPr>
      <w:r>
        <w:rPr>
          <w:rFonts w:ascii="Arial" w:cs="Arial" w:eastAsia="Arial" w:hAnsi="Arial"/>
          <w:sz w:val="16"/>
          <w:szCs w:val="16"/>
          <w:b w:val="1"/>
          <w:bCs w:val="1"/>
          <w:color w:val="auto"/>
        </w:rPr>
        <w:t>(Âmbito de aplicação)</w:t>
      </w:r>
    </w:p>
    <w:p>
      <w:pPr>
        <w:spacing w:after="0" w:line="133" w:lineRule="exact"/>
        <w:rPr>
          <w:sz w:val="24"/>
          <w:szCs w:val="24"/>
          <w:color w:val="auto"/>
        </w:rPr>
      </w:pPr>
    </w:p>
    <w:p>
      <w:pPr>
        <w:sectPr>
          <w:pgSz w:w="11900" w:h="16838" w:orient="portrait"/>
          <w:cols w:equalWidth="0" w:num="2">
            <w:col w:w="5080" w:space="380"/>
            <w:col w:w="5080"/>
          </w:cols>
          <w:pgMar w:left="680" w:top="771" w:right="686" w:bottom="58" w:gutter="0" w:footer="0" w:header="0"/>
          <w:type w:val="continuous"/>
        </w:sectPr>
      </w:pPr>
    </w:p>
    <w:p>
      <w:pPr>
        <w:spacing w:after="0" w:line="200" w:lineRule="exact"/>
        <w:rPr>
          <w:sz w:val="24"/>
          <w:szCs w:val="24"/>
          <w:color w:val="auto"/>
        </w:rPr>
      </w:pPr>
    </w:p>
    <w:p>
      <w:pPr>
        <w:spacing w:after="0" w:line="200" w:lineRule="exact"/>
        <w:rPr>
          <w:sz w:val="24"/>
          <w:szCs w:val="24"/>
          <w:color w:val="auto"/>
        </w:rPr>
      </w:pPr>
    </w:p>
    <w:p>
      <w:pPr>
        <w:spacing w:after="0" w:line="253" w:lineRule="exact"/>
        <w:rPr>
          <w:sz w:val="24"/>
          <w:szCs w:val="24"/>
          <w:color w:val="auto"/>
        </w:rPr>
      </w:pPr>
    </w:p>
    <w:p>
      <w:pPr>
        <w:ind w:left="960"/>
        <w:spacing w:after="0"/>
        <w:rPr>
          <w:sz w:val="20"/>
          <w:szCs w:val="20"/>
          <w:color w:val="auto"/>
        </w:rPr>
      </w:pPr>
      <w:r>
        <w:rPr>
          <w:rFonts w:ascii="Times New Roman" w:cs="Times New Roman" w:eastAsia="Times New Roman" w:hAnsi="Times New Roman"/>
          <w:sz w:val="24"/>
          <w:szCs w:val="24"/>
          <w:b w:val="1"/>
          <w:bCs w:val="1"/>
          <w:color w:val="auto"/>
        </w:rPr>
        <w:t>CONSELHO DE MINISTROS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4445</wp:posOffset>
                </wp:positionH>
                <wp:positionV relativeFrom="paragraph">
                  <wp:posOffset>-495935</wp:posOffset>
                </wp:positionV>
                <wp:extent cx="322643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2643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5pt,-39.0499pt" to="254.4pt,-39.0499pt" o:allowincell="f" strokecolor="#000000" strokeweight="0.5pt"/>
            </w:pict>
          </mc:Fallback>
        </mc:AlternateContent>
        <w:drawing>
          <wp:anchor simplePos="0" relativeHeight="251657728" behindDoc="1" locked="0" layoutInCell="0" allowOverlap="1">
            <wp:simplePos x="0" y="0"/>
            <wp:positionH relativeFrom="column">
              <wp:posOffset>128270</wp:posOffset>
            </wp:positionH>
            <wp:positionV relativeFrom="paragraph">
              <wp:posOffset>-419735</wp:posOffset>
            </wp:positionV>
            <wp:extent cx="3026410" cy="508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extLst>
                    </a:blip>
                    <a:srcRect/>
                    <a:stretch>
                      <a:fillRect/>
                    </a:stretch>
                  </pic:blipFill>
                  <pic:spPr bwMode="auto">
                    <a:xfrm>
                      <a:off x="0" y="0"/>
                      <a:ext cx="3026410" cy="50800"/>
                    </a:xfrm>
                    <a:prstGeom prst="rect">
                      <a:avLst/>
                    </a:prstGeom>
                    <a:noFill/>
                  </pic:spPr>
                </pic:pic>
              </a:graphicData>
            </a:graphic>
          </wp:anchor>
        </w:drawing>
        <mc:AlternateContent>
          <mc:Choice Requires="wps">
            <w:drawing>
              <wp:anchor simplePos="0" relativeHeight="251657728" behindDoc="1" locked="0" layoutInCell="0" allowOverlap="1">
                <wp:simplePos x="0" y="0"/>
                <wp:positionH relativeFrom="column">
                  <wp:posOffset>1270</wp:posOffset>
                </wp:positionH>
                <wp:positionV relativeFrom="paragraph">
                  <wp:posOffset>-300990</wp:posOffset>
                </wp:positionV>
                <wp:extent cx="323151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3151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pt,-23.6999pt" to="254.55pt,-23.6999pt" o:allowincell="f" strokecolor="#000000" strokeweight="0.5pt"/>
            </w:pict>
          </mc:Fallback>
        </mc:AlternateContent>
        <mc:AlternateContent>
          <mc:Choice Requires="wps">
            <w:drawing>
              <wp:anchor simplePos="0" relativeHeight="251657728" behindDoc="1" locked="0" layoutInCell="0" allowOverlap="1">
                <wp:simplePos x="0" y="0"/>
                <wp:positionH relativeFrom="column">
                  <wp:posOffset>1430020</wp:posOffset>
                </wp:positionH>
                <wp:positionV relativeFrom="paragraph">
                  <wp:posOffset>138430</wp:posOffset>
                </wp:positionV>
                <wp:extent cx="37084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7084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2.6pt,10.9pt" to="141.8pt,10.9pt" o:allowincell="f" strokecolor="#000000" strokeweight="0.5pt"/>
            </w:pict>
          </mc:Fallback>
        </mc:AlternateContent>
      </w:r>
    </w:p>
    <w:p>
      <w:pPr>
        <w:spacing w:after="0" w:line="313" w:lineRule="exact"/>
        <w:rPr>
          <w:sz w:val="24"/>
          <w:szCs w:val="24"/>
          <w:color w:val="auto"/>
        </w:rPr>
      </w:pPr>
    </w:p>
    <w:p>
      <w:pPr>
        <w:jc w:val="center"/>
        <w:ind w:right="20"/>
        <w:spacing w:after="0"/>
        <w:rPr>
          <w:sz w:val="20"/>
          <w:szCs w:val="20"/>
          <w:color w:val="auto"/>
        </w:rPr>
      </w:pPr>
      <w:r>
        <w:rPr>
          <w:rFonts w:ascii="Arial" w:cs="Arial" w:eastAsia="Arial" w:hAnsi="Arial"/>
          <w:sz w:val="20"/>
          <w:szCs w:val="20"/>
          <w:b w:val="1"/>
          <w:bCs w:val="1"/>
          <w:color w:val="auto"/>
        </w:rPr>
        <w:t>Decreto n.</w:t>
      </w:r>
      <w:r>
        <w:rPr>
          <w:rFonts w:ascii="Times New Roman" w:cs="Times New Roman" w:eastAsia="Times New Roman" w:hAnsi="Times New Roman"/>
          <w:sz w:val="20"/>
          <w:szCs w:val="20"/>
          <w:b w:val="1"/>
          <w:bCs w:val="1"/>
          <w:color w:val="auto"/>
        </w:rPr>
        <w:t>º</w:t>
      </w:r>
      <w:r>
        <w:rPr>
          <w:rFonts w:ascii="Arial" w:cs="Arial" w:eastAsia="Arial" w:hAnsi="Arial"/>
          <w:sz w:val="20"/>
          <w:szCs w:val="20"/>
          <w:b w:val="1"/>
          <w:bCs w:val="1"/>
          <w:color w:val="auto"/>
        </w:rPr>
        <w:t xml:space="preserve"> 8/2022</w:t>
      </w:r>
    </w:p>
    <w:p>
      <w:pPr>
        <w:spacing w:after="0" w:line="151" w:lineRule="exact"/>
        <w:rPr>
          <w:sz w:val="24"/>
          <w:szCs w:val="24"/>
          <w:color w:val="auto"/>
        </w:rPr>
      </w:pPr>
    </w:p>
    <w:p>
      <w:pPr>
        <w:ind w:left="1960"/>
        <w:spacing w:after="0"/>
        <w:rPr>
          <w:sz w:val="20"/>
          <w:szCs w:val="20"/>
          <w:color w:val="auto"/>
        </w:rPr>
      </w:pPr>
      <w:r>
        <w:rPr>
          <w:rFonts w:ascii="Arial" w:cs="Arial" w:eastAsia="Arial" w:hAnsi="Arial"/>
          <w:sz w:val="16"/>
          <w:szCs w:val="16"/>
          <w:b w:val="1"/>
          <w:bCs w:val="1"/>
          <w:color w:val="auto"/>
        </w:rPr>
        <w:t>de 14 de Março</w:t>
      </w:r>
    </w:p>
    <w:p>
      <w:pPr>
        <w:spacing w:after="0" w:line="142" w:lineRule="exact"/>
        <w:rPr>
          <w:sz w:val="24"/>
          <w:szCs w:val="24"/>
          <w:color w:val="auto"/>
        </w:rPr>
      </w:pPr>
    </w:p>
    <w:p>
      <w:pPr>
        <w:jc w:val="both"/>
        <w:ind w:firstLine="227"/>
        <w:spacing w:after="0" w:line="248" w:lineRule="auto"/>
        <w:rPr>
          <w:sz w:val="20"/>
          <w:szCs w:val="20"/>
          <w:color w:val="auto"/>
        </w:rPr>
      </w:pPr>
      <w:r>
        <w:rPr>
          <w:rFonts w:ascii="Times New Roman" w:cs="Times New Roman" w:eastAsia="Times New Roman" w:hAnsi="Times New Roman"/>
          <w:sz w:val="20"/>
          <w:szCs w:val="20"/>
          <w:color w:val="auto"/>
        </w:rPr>
        <w:t xml:space="preserve">Havendo necessidade de se proceder à revisão do Decreto n.º 59/2009, de 8 de Outubro, que aprova o Regulamento de Normalização e Avaliação da Conformidade, por forma a conformá-lo com as novas exigências normativas e regulatórias da normalização e avaliação da conformidade e ao abrigo da alínea </w:t>
      </w:r>
      <w:r>
        <w:rPr>
          <w:rFonts w:ascii="Times New Roman" w:cs="Times New Roman" w:eastAsia="Times New Roman" w:hAnsi="Times New Roman"/>
          <w:sz w:val="20"/>
          <w:szCs w:val="20"/>
          <w:i w:val="1"/>
          <w:iCs w:val="1"/>
          <w:color w:val="auto"/>
        </w:rPr>
        <w:t>f</w:t>
      </w:r>
      <w:r>
        <w:rPr>
          <w:rFonts w:ascii="Times New Roman" w:cs="Times New Roman" w:eastAsia="Times New Roman" w:hAnsi="Times New Roman"/>
          <w:sz w:val="20"/>
          <w:szCs w:val="20"/>
          <w:color w:val="auto"/>
        </w:rPr>
        <w:t>) do n.º 1 do artigo 203 da Constituição da República, o Conselho de Ministros determina:</w:t>
      </w:r>
    </w:p>
    <w:p>
      <w:pPr>
        <w:spacing w:after="0" w:line="59" w:lineRule="exact"/>
        <w:rPr>
          <w:sz w:val="24"/>
          <w:szCs w:val="24"/>
          <w:color w:val="auto"/>
        </w:rPr>
      </w:pPr>
    </w:p>
    <w:p>
      <w:pPr>
        <w:jc w:val="both"/>
        <w:ind w:firstLine="227"/>
        <w:spacing w:after="0" w:line="248" w:lineRule="auto"/>
        <w:rPr>
          <w:sz w:val="20"/>
          <w:szCs w:val="20"/>
          <w:color w:val="auto"/>
        </w:rPr>
      </w:pPr>
      <w:r>
        <w:rPr>
          <w:rFonts w:ascii="Times New Roman" w:cs="Times New Roman" w:eastAsia="Times New Roman" w:hAnsi="Times New Roman"/>
          <w:sz w:val="20"/>
          <w:szCs w:val="20"/>
          <w:color w:val="auto"/>
        </w:rPr>
        <w:t>Artigo 1. É aprovado o Regulamento de Normalização e Avaliação da Conformidade, anexo ao presente Decreto e que dele faz parte integrante.</w:t>
      </w:r>
    </w:p>
    <w:p>
      <w:pPr>
        <w:spacing w:after="0" w:line="1" w:lineRule="exact"/>
        <w:rPr>
          <w:sz w:val="24"/>
          <w:szCs w:val="24"/>
          <w:color w:val="auto"/>
        </w:rPr>
      </w:pPr>
    </w:p>
    <w:p>
      <w:pPr>
        <w:jc w:val="both"/>
        <w:ind w:right="20" w:firstLine="227"/>
        <w:spacing w:after="0" w:line="248" w:lineRule="auto"/>
        <w:rPr>
          <w:sz w:val="20"/>
          <w:szCs w:val="20"/>
          <w:color w:val="auto"/>
        </w:rPr>
      </w:pPr>
      <w:r>
        <w:rPr>
          <w:rFonts w:ascii="Times New Roman" w:cs="Times New Roman" w:eastAsia="Times New Roman" w:hAnsi="Times New Roman"/>
          <w:sz w:val="20"/>
          <w:szCs w:val="20"/>
          <w:color w:val="auto"/>
        </w:rPr>
        <w:t>Art. 2. Compete ao Ministro que superintende a área da indústria e comércio aprovar as normas para aplicação do presente Decreto.</w:t>
      </w:r>
    </w:p>
    <w:p>
      <w:pPr>
        <w:spacing w:after="0" w:line="1" w:lineRule="exact"/>
        <w:rPr>
          <w:sz w:val="24"/>
          <w:szCs w:val="24"/>
          <w:color w:val="auto"/>
        </w:rPr>
      </w:pPr>
    </w:p>
    <w:p>
      <w:pPr>
        <w:jc w:val="both"/>
        <w:ind w:firstLine="227"/>
        <w:spacing w:after="0" w:line="247" w:lineRule="auto"/>
        <w:rPr>
          <w:sz w:val="20"/>
          <w:szCs w:val="20"/>
          <w:color w:val="auto"/>
        </w:rPr>
      </w:pPr>
      <w:r>
        <w:rPr>
          <w:rFonts w:ascii="Times New Roman" w:cs="Times New Roman" w:eastAsia="Times New Roman" w:hAnsi="Times New Roman"/>
          <w:sz w:val="20"/>
          <w:szCs w:val="20"/>
          <w:color w:val="auto"/>
        </w:rPr>
        <w:t>Art. 3. São revogados os Decretos n.º 59/2009, de 8 de Outubro e n.º 19/2010, de 30 de Junho.</w:t>
      </w:r>
    </w:p>
    <w:p>
      <w:pPr>
        <w:spacing w:after="0" w:line="3" w:lineRule="exact"/>
        <w:rPr>
          <w:sz w:val="24"/>
          <w:szCs w:val="24"/>
          <w:color w:val="auto"/>
        </w:rPr>
      </w:pPr>
    </w:p>
    <w:p>
      <w:pPr>
        <w:jc w:val="both"/>
        <w:ind w:right="20" w:firstLine="227"/>
        <w:spacing w:after="0" w:line="247" w:lineRule="auto"/>
        <w:rPr>
          <w:sz w:val="20"/>
          <w:szCs w:val="20"/>
          <w:color w:val="auto"/>
        </w:rPr>
      </w:pPr>
      <w:r>
        <w:rPr>
          <w:rFonts w:ascii="Times New Roman" w:cs="Times New Roman" w:eastAsia="Times New Roman" w:hAnsi="Times New Roman"/>
          <w:sz w:val="20"/>
          <w:szCs w:val="20"/>
          <w:color w:val="auto"/>
        </w:rPr>
        <w:t>Art. 4. O presente Decreto entra em vigor na data da sua publicação.</w:t>
      </w:r>
    </w:p>
    <w:p>
      <w:pPr>
        <w:spacing w:after="0" w:line="59" w:lineRule="exact"/>
        <w:rPr>
          <w:sz w:val="24"/>
          <w:szCs w:val="24"/>
          <w:color w:val="auto"/>
        </w:rPr>
      </w:pPr>
    </w:p>
    <w:p>
      <w:pPr>
        <w:ind w:left="680" w:right="20" w:hanging="226"/>
        <w:spacing w:after="0" w:line="247" w:lineRule="auto"/>
        <w:rPr>
          <w:sz w:val="20"/>
          <w:szCs w:val="20"/>
          <w:color w:val="auto"/>
        </w:rPr>
      </w:pPr>
      <w:r>
        <w:rPr>
          <w:rFonts w:ascii="Times New Roman" w:cs="Times New Roman" w:eastAsia="Times New Roman" w:hAnsi="Times New Roman"/>
          <w:sz w:val="20"/>
          <w:szCs w:val="20"/>
          <w:color w:val="auto"/>
        </w:rPr>
        <w:t>Aprovado pelo Conselho de Ministros, aos 15 de Fevereiro de 2022</w:t>
      </w:r>
    </w:p>
    <w:p>
      <w:pPr>
        <w:spacing w:after="0" w:line="59" w:lineRule="exact"/>
        <w:rPr>
          <w:sz w:val="24"/>
          <w:szCs w:val="24"/>
          <w:color w:val="auto"/>
        </w:rPr>
      </w:pPr>
    </w:p>
    <w:p>
      <w:pPr>
        <w:ind w:left="460"/>
        <w:spacing w:after="0"/>
        <w:rPr>
          <w:sz w:val="20"/>
          <w:szCs w:val="20"/>
          <w:color w:val="auto"/>
        </w:rPr>
      </w:pPr>
      <w:r>
        <w:rPr>
          <w:rFonts w:ascii="Times New Roman" w:cs="Times New Roman" w:eastAsia="Times New Roman" w:hAnsi="Times New Roman"/>
          <w:sz w:val="20"/>
          <w:szCs w:val="20"/>
          <w:color w:val="auto"/>
        </w:rPr>
        <w:t>Publique-se.</w:t>
      </w:r>
    </w:p>
    <w:p>
      <w:pPr>
        <w:spacing w:after="0" w:line="65" w:lineRule="exact"/>
        <w:rPr>
          <w:sz w:val="24"/>
          <w:szCs w:val="24"/>
          <w:color w:val="auto"/>
        </w:rPr>
      </w:pPr>
    </w:p>
    <w:p>
      <w:pPr>
        <w:ind w:left="220"/>
        <w:spacing w:after="0"/>
        <w:rPr>
          <w:sz w:val="20"/>
          <w:szCs w:val="20"/>
          <w:color w:val="auto"/>
        </w:rPr>
      </w:pPr>
      <w:r>
        <w:rPr>
          <w:rFonts w:ascii="Times New Roman" w:cs="Times New Roman" w:eastAsia="Times New Roman" w:hAnsi="Times New Roman"/>
          <w:sz w:val="20"/>
          <w:szCs w:val="20"/>
          <w:color w:val="auto"/>
        </w:rPr>
        <w:t xml:space="preserve">O Primeiro-Ministro, </w:t>
      </w:r>
      <w:r>
        <w:rPr>
          <w:rFonts w:ascii="Times New Roman" w:cs="Times New Roman" w:eastAsia="Times New Roman" w:hAnsi="Times New Roman"/>
          <w:sz w:val="20"/>
          <w:szCs w:val="20"/>
          <w:i w:val="1"/>
          <w:iCs w:val="1"/>
          <w:color w:val="auto"/>
        </w:rPr>
        <w:t>Carlos Agostinho do Rosário</w:t>
      </w:r>
      <w:r>
        <w:rPr>
          <w:rFonts w:ascii="Times New Roman" w:cs="Times New Roman" w:eastAsia="Times New Roman" w:hAnsi="Times New Roman"/>
          <w:sz w:val="20"/>
          <w:szCs w:val="20"/>
          <w:color w:val="auto"/>
        </w:rPr>
        <w:t>.</w:t>
      </w:r>
    </w:p>
    <w:p>
      <w:pPr>
        <w:spacing w:after="0" w:line="20" w:lineRule="exact"/>
        <w:rPr>
          <w:sz w:val="24"/>
          <w:szCs w:val="24"/>
          <w:color w:val="auto"/>
        </w:rPr>
      </w:pPr>
      <w:r>
        <w:rPr>
          <w:sz w:val="24"/>
          <w:szCs w:val="24"/>
          <w:color w:val="auto"/>
        </w:rPr>
        <w:br w:type="column"/>
      </w:r>
    </w:p>
    <w:p>
      <w:pPr>
        <w:jc w:val="both"/>
        <w:ind w:firstLine="227"/>
        <w:spacing w:after="0" w:line="239" w:lineRule="auto"/>
        <w:rPr>
          <w:sz w:val="20"/>
          <w:szCs w:val="20"/>
          <w:color w:val="auto"/>
        </w:rPr>
      </w:pPr>
      <w:r>
        <w:rPr>
          <w:rFonts w:ascii="Times New Roman" w:cs="Times New Roman" w:eastAsia="Times New Roman" w:hAnsi="Times New Roman"/>
          <w:sz w:val="20"/>
          <w:szCs w:val="20"/>
          <w:color w:val="auto"/>
        </w:rPr>
        <w:t>O presente Regulamento aplica-se ao processo de elaboração, aprovação, homologação e publicação dos regulamentos técnicos e Normas Técnicas Moçambicanas, bem como às actividades de avaliação da conformidade.</w:t>
      </w:r>
    </w:p>
    <w:p>
      <w:pPr>
        <w:spacing w:after="0" w:line="11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4</w:t>
      </w:r>
    </w:p>
    <w:p>
      <w:pPr>
        <w:spacing w:after="0" w:line="129" w:lineRule="exact"/>
        <w:rPr>
          <w:sz w:val="24"/>
          <w:szCs w:val="24"/>
          <w:color w:val="auto"/>
        </w:rPr>
      </w:pPr>
    </w:p>
    <w:p>
      <w:pPr>
        <w:ind w:left="2080"/>
        <w:spacing w:after="0"/>
        <w:rPr>
          <w:sz w:val="20"/>
          <w:szCs w:val="20"/>
          <w:color w:val="auto"/>
        </w:rPr>
      </w:pPr>
      <w:r>
        <w:rPr>
          <w:rFonts w:ascii="Arial" w:cs="Arial" w:eastAsia="Arial" w:hAnsi="Arial"/>
          <w:sz w:val="16"/>
          <w:szCs w:val="16"/>
          <w:b w:val="1"/>
          <w:bCs w:val="1"/>
          <w:color w:val="auto"/>
        </w:rPr>
        <w:t>(Objectivos)</w:t>
      </w:r>
    </w:p>
    <w:p>
      <w:pPr>
        <w:spacing w:after="0" w:line="133" w:lineRule="exact"/>
        <w:rPr>
          <w:sz w:val="24"/>
          <w:szCs w:val="24"/>
          <w:color w:val="auto"/>
        </w:rPr>
      </w:pPr>
    </w:p>
    <w:p>
      <w:pPr>
        <w:ind w:left="220"/>
        <w:spacing w:after="0"/>
        <w:rPr>
          <w:sz w:val="20"/>
          <w:szCs w:val="20"/>
          <w:color w:val="auto"/>
        </w:rPr>
      </w:pPr>
      <w:r>
        <w:rPr>
          <w:rFonts w:ascii="Times New Roman" w:cs="Times New Roman" w:eastAsia="Times New Roman" w:hAnsi="Times New Roman"/>
          <w:sz w:val="20"/>
          <w:szCs w:val="20"/>
          <w:color w:val="auto"/>
        </w:rPr>
        <w:t>O presente Regulamento tem como objectivos:</w:t>
      </w:r>
    </w:p>
    <w:p>
      <w:pPr>
        <w:spacing w:after="0" w:line="57" w:lineRule="exact"/>
        <w:rPr>
          <w:sz w:val="24"/>
          <w:szCs w:val="24"/>
          <w:color w:val="auto"/>
        </w:rPr>
      </w:pPr>
    </w:p>
    <w:p>
      <w:pPr>
        <w:jc w:val="both"/>
        <w:ind w:left="84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a</w:t>
      </w:r>
      <w:r>
        <w:rPr>
          <w:rFonts w:ascii="Times New Roman" w:cs="Times New Roman" w:eastAsia="Times New Roman" w:hAnsi="Times New Roman"/>
          <w:sz w:val="20"/>
          <w:szCs w:val="20"/>
          <w:color w:val="auto"/>
        </w:rPr>
        <w:t>) promover a utilização das Normas Técnicas</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Moçambicanas;</w:t>
      </w:r>
    </w:p>
    <w:p>
      <w:pPr>
        <w:spacing w:after="0" w:line="2" w:lineRule="exact"/>
        <w:rPr>
          <w:sz w:val="24"/>
          <w:szCs w:val="24"/>
          <w:color w:val="auto"/>
        </w:rPr>
      </w:pPr>
    </w:p>
    <w:p>
      <w:pPr>
        <w:jc w:val="both"/>
        <w:ind w:left="84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b</w:t>
      </w:r>
      <w:r>
        <w:rPr>
          <w:rFonts w:ascii="Times New Roman" w:cs="Times New Roman" w:eastAsia="Times New Roman" w:hAnsi="Times New Roman"/>
          <w:sz w:val="20"/>
          <w:szCs w:val="20"/>
          <w:color w:val="auto"/>
        </w:rPr>
        <w:t>) promover e assegurar as actividades de avaliação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da conformidade;</w:t>
      </w:r>
    </w:p>
    <w:p>
      <w:pPr>
        <w:spacing w:after="0" w:line="2" w:lineRule="exact"/>
        <w:rPr>
          <w:sz w:val="24"/>
          <w:szCs w:val="24"/>
          <w:color w:val="auto"/>
        </w:rPr>
      </w:pPr>
    </w:p>
    <w:p>
      <w:pPr>
        <w:jc w:val="both"/>
        <w:ind w:left="840" w:hanging="396"/>
        <w:spacing w:after="0" w:line="238" w:lineRule="auto"/>
        <w:rPr>
          <w:sz w:val="20"/>
          <w:szCs w:val="20"/>
          <w:color w:val="auto"/>
        </w:rPr>
      </w:pPr>
      <w:r>
        <w:rPr>
          <w:rFonts w:ascii="Times New Roman" w:cs="Times New Roman" w:eastAsia="Times New Roman" w:hAnsi="Times New Roman"/>
          <w:sz w:val="20"/>
          <w:szCs w:val="20"/>
          <w:i w:val="1"/>
          <w:iCs w:val="1"/>
          <w:color w:val="auto"/>
        </w:rPr>
        <w:t>c</w:t>
      </w:r>
      <w:r>
        <w:rPr>
          <w:rFonts w:ascii="Arial" w:cs="Arial" w:eastAsia="Arial" w:hAnsi="Arial"/>
          <w:sz w:val="20"/>
          <w:szCs w:val="20"/>
          <w:color w:val="auto"/>
        </w:rPr>
        <w:t>) simplificar e permitir a permutabilidade e compatibilidade</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de produtos, processos e serviços;</w:t>
      </w:r>
    </w:p>
    <w:p>
      <w:pPr>
        <w:spacing w:after="0" w:line="2" w:lineRule="exact"/>
        <w:rPr>
          <w:sz w:val="24"/>
          <w:szCs w:val="24"/>
          <w:color w:val="auto"/>
        </w:rPr>
      </w:pPr>
    </w:p>
    <w:p>
      <w:pPr>
        <w:jc w:val="both"/>
        <w:ind w:left="84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d</w:t>
      </w:r>
      <w:r>
        <w:rPr>
          <w:rFonts w:ascii="Times New Roman" w:cs="Times New Roman" w:eastAsia="Times New Roman" w:hAnsi="Times New Roman"/>
          <w:sz w:val="20"/>
          <w:szCs w:val="20"/>
          <w:color w:val="auto"/>
        </w:rPr>
        <w:t>) facilitar a comunicação entre o fornecedor e o consu-midor;</w:t>
      </w:r>
    </w:p>
    <w:p>
      <w:pPr>
        <w:spacing w:after="0" w:line="2" w:lineRule="exact"/>
        <w:rPr>
          <w:sz w:val="24"/>
          <w:szCs w:val="24"/>
          <w:color w:val="auto"/>
        </w:rPr>
      </w:pPr>
    </w:p>
    <w:p>
      <w:pPr>
        <w:jc w:val="both"/>
        <w:ind w:left="460"/>
        <w:spacing w:after="0" w:line="239" w:lineRule="auto"/>
        <w:rPr>
          <w:sz w:val="20"/>
          <w:szCs w:val="20"/>
          <w:color w:val="auto"/>
        </w:rPr>
      </w:pPr>
      <w:r>
        <w:rPr>
          <w:rFonts w:ascii="Times New Roman" w:cs="Times New Roman" w:eastAsia="Times New Roman" w:hAnsi="Times New Roman"/>
          <w:sz w:val="20"/>
          <w:szCs w:val="20"/>
          <w:i w:val="1"/>
          <w:iCs w:val="1"/>
          <w:color w:val="auto"/>
        </w:rPr>
        <w:t>e</w:t>
      </w:r>
      <w:r>
        <w:rPr>
          <w:rFonts w:ascii="Times New Roman" w:cs="Times New Roman" w:eastAsia="Times New Roman" w:hAnsi="Times New Roman"/>
          <w:sz w:val="20"/>
          <w:szCs w:val="20"/>
          <w:color w:val="auto"/>
        </w:rPr>
        <w:t>) proteger o consumidor de práticas de comércio desleal;</w:t>
      </w:r>
      <w:r>
        <w:rPr>
          <w:rFonts w:ascii="Times New Roman" w:cs="Times New Roman" w:eastAsia="Times New Roman" w:hAnsi="Times New Roman"/>
          <w:sz w:val="20"/>
          <w:szCs w:val="20"/>
          <w:i w:val="1"/>
          <w:iCs w:val="1"/>
          <w:color w:val="auto"/>
        </w:rPr>
        <w:t xml:space="preserve"> f</w:t>
      </w:r>
      <w:r>
        <w:rPr>
          <w:rFonts w:ascii="Times New Roman" w:cs="Times New Roman" w:eastAsia="Times New Roman" w:hAnsi="Times New Roman"/>
          <w:sz w:val="20"/>
          <w:szCs w:val="20"/>
          <w:color w:val="auto"/>
        </w:rPr>
        <w:t>) assegurar a concorrência justa;</w:t>
      </w:r>
    </w:p>
    <w:p>
      <w:pPr>
        <w:spacing w:after="0" w:line="2" w:lineRule="exact"/>
        <w:rPr>
          <w:sz w:val="24"/>
          <w:szCs w:val="24"/>
          <w:color w:val="auto"/>
        </w:rPr>
      </w:pPr>
    </w:p>
    <w:p>
      <w:pPr>
        <w:jc w:val="both"/>
        <w:ind w:left="84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g</w:t>
      </w:r>
      <w:r>
        <w:rPr>
          <w:rFonts w:ascii="Times New Roman" w:cs="Times New Roman" w:eastAsia="Times New Roman" w:hAnsi="Times New Roman"/>
          <w:sz w:val="20"/>
          <w:szCs w:val="20"/>
          <w:color w:val="auto"/>
        </w:rPr>
        <w:t>) promover o tratamento igual a produtos nacionais</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e importados;</w:t>
      </w:r>
    </w:p>
    <w:p>
      <w:pPr>
        <w:spacing w:after="0" w:line="1" w:lineRule="exact"/>
        <w:rPr>
          <w:sz w:val="24"/>
          <w:szCs w:val="24"/>
          <w:color w:val="auto"/>
        </w:rPr>
      </w:pPr>
    </w:p>
    <w:p>
      <w:pPr>
        <w:ind w:left="460"/>
        <w:spacing w:after="0"/>
        <w:rPr>
          <w:sz w:val="20"/>
          <w:szCs w:val="20"/>
          <w:color w:val="auto"/>
        </w:rPr>
      </w:pPr>
      <w:r>
        <w:rPr>
          <w:rFonts w:ascii="Times New Roman" w:cs="Times New Roman" w:eastAsia="Times New Roman" w:hAnsi="Times New Roman"/>
          <w:sz w:val="20"/>
          <w:szCs w:val="20"/>
          <w:i w:val="1"/>
          <w:iCs w:val="1"/>
          <w:color w:val="auto"/>
        </w:rPr>
        <w:t>h</w:t>
      </w:r>
      <w:r>
        <w:rPr>
          <w:rFonts w:ascii="Times New Roman" w:cs="Times New Roman" w:eastAsia="Times New Roman" w:hAnsi="Times New Roman"/>
          <w:sz w:val="20"/>
          <w:szCs w:val="20"/>
          <w:color w:val="auto"/>
        </w:rPr>
        <w:t>) estimular a melhoria da qualidade;</w:t>
      </w:r>
    </w:p>
    <w:p>
      <w:pPr>
        <w:spacing w:after="0" w:line="1" w:lineRule="exact"/>
        <w:rPr>
          <w:sz w:val="24"/>
          <w:szCs w:val="24"/>
          <w:color w:val="auto"/>
        </w:rPr>
      </w:pPr>
    </w:p>
    <w:p>
      <w:pPr>
        <w:ind w:left="460" w:right="340"/>
        <w:spacing w:after="0" w:line="247" w:lineRule="auto"/>
        <w:rPr>
          <w:sz w:val="20"/>
          <w:szCs w:val="20"/>
          <w:color w:val="auto"/>
        </w:rPr>
      </w:pPr>
      <w:r>
        <w:rPr>
          <w:rFonts w:ascii="Times New Roman" w:cs="Times New Roman" w:eastAsia="Times New Roman" w:hAnsi="Times New Roman"/>
          <w:sz w:val="19"/>
          <w:szCs w:val="19"/>
          <w:i w:val="1"/>
          <w:iCs w:val="1"/>
          <w:color w:val="auto"/>
        </w:rPr>
        <w:t>i</w:t>
      </w:r>
      <w:r>
        <w:rPr>
          <w:rFonts w:ascii="Times New Roman" w:cs="Times New Roman" w:eastAsia="Times New Roman" w:hAnsi="Times New Roman"/>
          <w:sz w:val="19"/>
          <w:szCs w:val="19"/>
          <w:color w:val="auto"/>
        </w:rPr>
        <w:t>) promover o comércio e a cooperação internacional;</w:t>
      </w:r>
      <w:r>
        <w:rPr>
          <w:rFonts w:ascii="Times New Roman" w:cs="Times New Roman" w:eastAsia="Times New Roman" w:hAnsi="Times New Roman"/>
          <w:sz w:val="19"/>
          <w:szCs w:val="19"/>
          <w:i w:val="1"/>
          <w:iCs w:val="1"/>
          <w:color w:val="auto"/>
        </w:rPr>
        <w:t xml:space="preserve"> j</w:t>
      </w:r>
      <w:r>
        <w:rPr>
          <w:rFonts w:ascii="Times New Roman" w:cs="Times New Roman" w:eastAsia="Times New Roman" w:hAnsi="Times New Roman"/>
          <w:sz w:val="19"/>
          <w:szCs w:val="19"/>
          <w:color w:val="auto"/>
        </w:rPr>
        <w:t>) preservar os imperativos de segurança nacional;</w:t>
      </w:r>
    </w:p>
    <w:p>
      <w:pPr>
        <w:jc w:val="both"/>
        <w:ind w:left="460"/>
        <w:spacing w:after="0" w:line="229" w:lineRule="auto"/>
        <w:rPr>
          <w:sz w:val="20"/>
          <w:szCs w:val="20"/>
          <w:color w:val="auto"/>
        </w:rPr>
      </w:pPr>
      <w:r>
        <w:rPr>
          <w:rFonts w:ascii="Times New Roman" w:cs="Times New Roman" w:eastAsia="Times New Roman" w:hAnsi="Times New Roman"/>
          <w:sz w:val="20"/>
          <w:szCs w:val="20"/>
          <w:i w:val="1"/>
          <w:iCs w:val="1"/>
          <w:color w:val="auto"/>
        </w:rPr>
        <w:t>k</w:t>
      </w:r>
      <w:r>
        <w:rPr>
          <w:rFonts w:ascii="Times New Roman" w:cs="Times New Roman" w:eastAsia="Times New Roman" w:hAnsi="Times New Roman"/>
          <w:sz w:val="20"/>
          <w:szCs w:val="20"/>
          <w:color w:val="auto"/>
        </w:rPr>
        <w:t>) proteger a saúde, segurança humana e o meio ambiente;</w:t>
      </w:r>
      <w:r>
        <w:rPr>
          <w:rFonts w:ascii="Times New Roman" w:cs="Times New Roman" w:eastAsia="Times New Roman" w:hAnsi="Times New Roman"/>
          <w:sz w:val="20"/>
          <w:szCs w:val="20"/>
          <w:i w:val="1"/>
          <w:iCs w:val="1"/>
          <w:color w:val="auto"/>
        </w:rPr>
        <w:t xml:space="preserve"> l</w:t>
      </w:r>
      <w:r>
        <w:rPr>
          <w:rFonts w:ascii="Times New Roman" w:cs="Times New Roman" w:eastAsia="Times New Roman" w:hAnsi="Times New Roman"/>
          <w:sz w:val="20"/>
          <w:szCs w:val="20"/>
          <w:color w:val="auto"/>
        </w:rPr>
        <w:t>) agregar valor às marcas moçambicanas;</w:t>
      </w:r>
    </w:p>
    <w:p>
      <w:pPr>
        <w:spacing w:after="0" w:line="1" w:lineRule="exact"/>
        <w:rPr>
          <w:sz w:val="24"/>
          <w:szCs w:val="24"/>
          <w:color w:val="auto"/>
        </w:rPr>
      </w:pPr>
    </w:p>
    <w:p>
      <w:pPr>
        <w:jc w:val="both"/>
        <w:ind w:left="840" w:hanging="396"/>
        <w:spacing w:after="0" w:line="229" w:lineRule="auto"/>
        <w:rPr>
          <w:sz w:val="20"/>
          <w:szCs w:val="20"/>
          <w:color w:val="auto"/>
        </w:rPr>
      </w:pPr>
      <w:r>
        <w:rPr>
          <w:rFonts w:ascii="Times New Roman" w:cs="Times New Roman" w:eastAsia="Times New Roman" w:hAnsi="Times New Roman"/>
          <w:sz w:val="20"/>
          <w:szCs w:val="20"/>
          <w:i w:val="1"/>
          <w:iCs w:val="1"/>
          <w:color w:val="auto"/>
        </w:rPr>
        <w:t>m</w:t>
      </w:r>
      <w:r>
        <w:rPr>
          <w:rFonts w:ascii="Times New Roman" w:cs="Times New Roman" w:eastAsia="Times New Roman" w:hAnsi="Times New Roman"/>
          <w:sz w:val="20"/>
          <w:szCs w:val="20"/>
          <w:color w:val="auto"/>
        </w:rPr>
        <w:t>) facilitar a inserção de Moçambique no comércio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internacional;</w:t>
      </w:r>
    </w:p>
    <w:p>
      <w:pPr>
        <w:ind w:left="460"/>
        <w:spacing w:after="0" w:line="230" w:lineRule="auto"/>
        <w:rPr>
          <w:sz w:val="20"/>
          <w:szCs w:val="20"/>
          <w:color w:val="auto"/>
        </w:rPr>
      </w:pPr>
      <w:r>
        <w:rPr>
          <w:rFonts w:ascii="Times New Roman" w:cs="Times New Roman" w:eastAsia="Times New Roman" w:hAnsi="Times New Roman"/>
          <w:sz w:val="20"/>
          <w:szCs w:val="20"/>
          <w:i w:val="1"/>
          <w:iCs w:val="1"/>
          <w:color w:val="auto"/>
        </w:rPr>
        <w:t>n</w:t>
      </w:r>
      <w:r>
        <w:rPr>
          <w:rFonts w:ascii="Times New Roman" w:cs="Times New Roman" w:eastAsia="Times New Roman" w:hAnsi="Times New Roman"/>
          <w:sz w:val="20"/>
          <w:szCs w:val="20"/>
          <w:color w:val="auto"/>
        </w:rPr>
        <w:t>) eliminar barreiras técnicas ao comércio;</w:t>
      </w:r>
    </w:p>
    <w:p>
      <w:pPr>
        <w:spacing w:after="0" w:line="1" w:lineRule="exact"/>
        <w:rPr>
          <w:sz w:val="24"/>
          <w:szCs w:val="24"/>
          <w:color w:val="auto"/>
        </w:rPr>
      </w:pPr>
    </w:p>
    <w:p>
      <w:pPr>
        <w:jc w:val="both"/>
        <w:ind w:left="840" w:hanging="396"/>
        <w:spacing w:after="0" w:line="232" w:lineRule="auto"/>
        <w:rPr>
          <w:sz w:val="20"/>
          <w:szCs w:val="20"/>
          <w:color w:val="auto"/>
        </w:rPr>
      </w:pPr>
      <w:r>
        <w:rPr>
          <w:rFonts w:ascii="Times New Roman" w:cs="Times New Roman" w:eastAsia="Times New Roman" w:hAnsi="Times New Roman"/>
          <w:sz w:val="20"/>
          <w:szCs w:val="20"/>
          <w:i w:val="1"/>
          <w:iCs w:val="1"/>
          <w:color w:val="auto"/>
        </w:rPr>
        <w:t>o</w:t>
      </w:r>
      <w:r>
        <w:rPr>
          <w:rFonts w:ascii="Times New Roman" w:cs="Times New Roman" w:eastAsia="Times New Roman" w:hAnsi="Times New Roman"/>
          <w:sz w:val="20"/>
          <w:szCs w:val="20"/>
          <w:color w:val="auto"/>
        </w:rPr>
        <w:t>) assegurar a circulação no país, de produtos que estejam</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em conformidade com as normas e regulamentos técnicos; e</w:t>
      </w:r>
    </w:p>
    <w:p>
      <w:pPr>
        <w:sectPr>
          <w:pgSz w:w="11900" w:h="16838" w:orient="portrait"/>
          <w:cols w:equalWidth="0" w:num="2">
            <w:col w:w="5100" w:space="360"/>
            <w:col w:w="5080"/>
          </w:cols>
          <w:pgMar w:left="680" w:top="771" w:right="686" w:bottom="58" w:gutter="0" w:footer="0" w:header="0"/>
          <w:type w:val="continuous"/>
        </w:sectPr>
      </w:pPr>
    </w:p>
    <w:bookmarkStart w:id="1" w:name="page2"/>
    <w:bookmarkEnd w:id="1"/>
    <w:p>
      <w:pPr>
        <w:spacing w:after="0"/>
        <w:tabs>
          <w:tab w:leader="none" w:pos="8440" w:val="left"/>
        </w:tabs>
        <w:rPr>
          <w:sz w:val="20"/>
          <w:szCs w:val="20"/>
          <w:color w:val="auto"/>
        </w:rPr>
      </w:pPr>
      <w:r>
        <w:rPr>
          <w:rFonts w:ascii="Times New Roman" w:cs="Times New Roman" w:eastAsia="Times New Roman" w:hAnsi="Times New Roman"/>
          <w:sz w:val="20"/>
          <w:szCs w:val="20"/>
          <w:color w:val="auto"/>
        </w:rPr>
        <w:t>346</w:t>
      </w:r>
      <w:r>
        <w:rPr>
          <w:sz w:val="20"/>
          <w:szCs w:val="20"/>
          <w:color w:val="auto"/>
        </w:rPr>
        <w:tab/>
      </w:r>
      <w:r>
        <w:rPr>
          <w:rFonts w:ascii="Times New Roman" w:cs="Times New Roman" w:eastAsia="Times New Roman" w:hAnsi="Times New Roman"/>
          <w:sz w:val="20"/>
          <w:szCs w:val="20"/>
          <w:i w:val="1"/>
          <w:iCs w:val="1"/>
          <w:color w:val="auto"/>
        </w:rPr>
        <w:t>I SÉRIE — NÚMERO 50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36830</wp:posOffset>
                </wp:positionV>
                <wp:extent cx="667575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7575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9pt" to="525.65pt,2.9pt" o:allowincell="f" strokecolor="#000000" strokeweight="0.5pt"/>
            </w:pict>
          </mc:Fallback>
        </mc:AlternateContent>
      </w:r>
    </w:p>
    <w:p>
      <w:pPr>
        <w:sectPr>
          <w:pgSz w:w="11900" w:h="16838" w:orient="portrait"/>
          <w:cols w:equalWidth="0" w:num="1">
            <w:col w:w="10540"/>
          </w:cols>
          <w:pgMar w:left="680" w:top="801" w:right="686" w:bottom="89" w:gutter="0" w:footer="0" w:header="0"/>
        </w:sectPr>
      </w:pPr>
    </w:p>
    <w:p>
      <w:pPr>
        <w:spacing w:after="0" w:line="289" w:lineRule="exact"/>
        <w:rPr>
          <w:sz w:val="20"/>
          <w:szCs w:val="20"/>
          <w:color w:val="auto"/>
        </w:rPr>
      </w:pPr>
    </w:p>
    <w:p>
      <w:pPr>
        <w:jc w:val="both"/>
        <w:ind w:left="86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p</w:t>
      </w:r>
      <w:r>
        <w:rPr>
          <w:rFonts w:ascii="Times New Roman" w:cs="Times New Roman" w:eastAsia="Times New Roman" w:hAnsi="Times New Roman"/>
          <w:sz w:val="20"/>
          <w:szCs w:val="20"/>
          <w:color w:val="auto"/>
        </w:rPr>
        <w:t>) estabelecer programas de avaliação da conformidade</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e assegurar o controlo da qualidade dos produtos nacionais e importados comercializados no país.</w:t>
      </w:r>
    </w:p>
    <w:p>
      <w:pPr>
        <w:spacing w:after="0" w:line="20" w:lineRule="exact"/>
        <w:rPr>
          <w:sz w:val="20"/>
          <w:szCs w:val="20"/>
          <w:color w:val="auto"/>
        </w:rPr>
      </w:pPr>
      <w:r>
        <w:rPr>
          <w:sz w:val="20"/>
          <w:szCs w:val="20"/>
          <w:color w:val="auto"/>
        </w:rPr>
        <w:br w:type="column"/>
      </w:r>
    </w:p>
    <w:p>
      <w:pPr>
        <w:spacing w:after="0" w:line="269" w:lineRule="exact"/>
        <w:rPr>
          <w:sz w:val="20"/>
          <w:szCs w:val="20"/>
          <w:color w:val="auto"/>
        </w:rPr>
      </w:pPr>
    </w:p>
    <w:p>
      <w:pPr>
        <w:jc w:val="both"/>
        <w:ind w:left="-224" w:firstLine="224"/>
        <w:spacing w:after="0" w:line="239" w:lineRule="auto"/>
        <w:tabs>
          <w:tab w:leader="none" w:pos="234" w:val="left"/>
        </w:tabs>
        <w:numPr>
          <w:ilvl w:val="0"/>
          <w:numId w:val="2"/>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As Normas Técnicas Moçambicanas adquirem carácter obrigatório quando fundamentam os regulamentos técnicos ou uma lei geral, visando realizar um objectivo legítimo.</w:t>
      </w:r>
    </w:p>
    <w:p>
      <w:pPr>
        <w:spacing w:after="0" w:line="172" w:lineRule="exact"/>
        <w:rPr>
          <w:sz w:val="20"/>
          <w:szCs w:val="20"/>
          <w:color w:val="auto"/>
        </w:rPr>
      </w:pPr>
    </w:p>
    <w:p>
      <w:pPr>
        <w:sectPr>
          <w:pgSz w:w="11900" w:h="16838" w:orient="portrait"/>
          <w:cols w:equalWidth="0" w:num="2">
            <w:col w:w="5100" w:space="584"/>
            <w:col w:w="4856"/>
          </w:cols>
          <w:pgMar w:left="680" w:top="801" w:right="686" w:bottom="89" w:gutter="0" w:footer="0" w:header="0"/>
          <w:type w:val="continuous"/>
        </w:sectPr>
      </w:pPr>
    </w:p>
    <w:p>
      <w:pPr>
        <w:spacing w:after="0" w:line="57"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CAPÍTULO II</w:t>
      </w:r>
    </w:p>
    <w:p>
      <w:pPr>
        <w:spacing w:after="0" w:line="110"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Intervenientes e Competências</w:t>
      </w:r>
    </w:p>
    <w:p>
      <w:pPr>
        <w:spacing w:after="0" w:line="73"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5</w:t>
      </w:r>
    </w:p>
    <w:p>
      <w:pPr>
        <w:spacing w:after="0" w:line="129" w:lineRule="exact"/>
        <w:rPr>
          <w:sz w:val="20"/>
          <w:szCs w:val="20"/>
          <w:color w:val="auto"/>
        </w:rPr>
      </w:pPr>
    </w:p>
    <w:p>
      <w:pPr>
        <w:ind w:left="1940"/>
        <w:spacing w:after="0"/>
        <w:rPr>
          <w:sz w:val="20"/>
          <w:szCs w:val="20"/>
          <w:color w:val="auto"/>
        </w:rPr>
      </w:pPr>
      <w:r>
        <w:rPr>
          <w:rFonts w:ascii="Arial" w:cs="Arial" w:eastAsia="Arial" w:hAnsi="Arial"/>
          <w:sz w:val="16"/>
          <w:szCs w:val="16"/>
          <w:b w:val="1"/>
          <w:bCs w:val="1"/>
          <w:color w:val="auto"/>
        </w:rPr>
        <w:t>(Intervenientes)</w:t>
      </w:r>
    </w:p>
    <w:p>
      <w:pPr>
        <w:spacing w:after="0" w:line="134" w:lineRule="exact"/>
        <w:rPr>
          <w:sz w:val="20"/>
          <w:szCs w:val="20"/>
          <w:color w:val="auto"/>
        </w:rPr>
      </w:pPr>
    </w:p>
    <w:p>
      <w:pPr>
        <w:ind w:right="20" w:firstLine="227"/>
        <w:spacing w:after="0" w:line="239" w:lineRule="auto"/>
        <w:rPr>
          <w:sz w:val="20"/>
          <w:szCs w:val="20"/>
          <w:color w:val="auto"/>
        </w:rPr>
      </w:pPr>
      <w:r>
        <w:rPr>
          <w:rFonts w:ascii="Times New Roman" w:cs="Times New Roman" w:eastAsia="Times New Roman" w:hAnsi="Times New Roman"/>
          <w:sz w:val="20"/>
          <w:szCs w:val="20"/>
          <w:color w:val="auto"/>
        </w:rPr>
        <w:t>Intervém nas actividades de normalização e avaliação da conformidade:</w:t>
      </w:r>
    </w:p>
    <w:p>
      <w:pPr>
        <w:spacing w:after="0" w:line="58"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20"/>
          <w:szCs w:val="20"/>
          <w:i w:val="1"/>
          <w:iCs w:val="1"/>
          <w:color w:val="auto"/>
        </w:rPr>
        <w:t>a</w:t>
      </w:r>
      <w:r>
        <w:rPr>
          <w:rFonts w:ascii="Times New Roman" w:cs="Times New Roman" w:eastAsia="Times New Roman" w:hAnsi="Times New Roman"/>
          <w:sz w:val="20"/>
          <w:szCs w:val="20"/>
          <w:color w:val="auto"/>
        </w:rPr>
        <w:t>) Ministérios;</w:t>
      </w:r>
    </w:p>
    <w:p>
      <w:pPr>
        <w:ind w:left="460"/>
        <w:spacing w:after="0"/>
        <w:rPr>
          <w:sz w:val="20"/>
          <w:szCs w:val="20"/>
          <w:color w:val="auto"/>
        </w:rPr>
      </w:pPr>
      <w:r>
        <w:rPr>
          <w:rFonts w:ascii="Times New Roman" w:cs="Times New Roman" w:eastAsia="Times New Roman" w:hAnsi="Times New Roman"/>
          <w:sz w:val="20"/>
          <w:szCs w:val="20"/>
          <w:i w:val="1"/>
          <w:iCs w:val="1"/>
          <w:color w:val="auto"/>
        </w:rPr>
        <w:t>b</w:t>
      </w:r>
      <w:r>
        <w:rPr>
          <w:rFonts w:ascii="Times New Roman" w:cs="Times New Roman" w:eastAsia="Times New Roman" w:hAnsi="Times New Roman"/>
          <w:sz w:val="20"/>
          <w:szCs w:val="20"/>
          <w:color w:val="auto"/>
        </w:rPr>
        <w:t>) Institutos públicos;</w:t>
      </w:r>
    </w:p>
    <w:p>
      <w:pPr>
        <w:ind w:left="460"/>
        <w:spacing w:after="0"/>
        <w:rPr>
          <w:sz w:val="20"/>
          <w:szCs w:val="20"/>
          <w:color w:val="auto"/>
        </w:rPr>
      </w:pPr>
      <w:r>
        <w:rPr>
          <w:rFonts w:ascii="Times New Roman" w:cs="Times New Roman" w:eastAsia="Times New Roman" w:hAnsi="Times New Roman"/>
          <w:sz w:val="20"/>
          <w:szCs w:val="20"/>
          <w:i w:val="1"/>
          <w:iCs w:val="1"/>
          <w:color w:val="auto"/>
        </w:rPr>
        <w:t>c</w:t>
      </w:r>
      <w:r>
        <w:rPr>
          <w:rFonts w:ascii="Times New Roman" w:cs="Times New Roman" w:eastAsia="Times New Roman" w:hAnsi="Times New Roman"/>
          <w:sz w:val="20"/>
          <w:szCs w:val="20"/>
          <w:color w:val="auto"/>
        </w:rPr>
        <w:t>) Empresas;</w:t>
      </w:r>
    </w:p>
    <w:p>
      <w:pPr>
        <w:ind w:left="460"/>
        <w:spacing w:after="0"/>
        <w:rPr>
          <w:sz w:val="20"/>
          <w:szCs w:val="20"/>
          <w:color w:val="auto"/>
        </w:rPr>
      </w:pPr>
      <w:r>
        <w:rPr>
          <w:rFonts w:ascii="Times New Roman" w:cs="Times New Roman" w:eastAsia="Times New Roman" w:hAnsi="Times New Roman"/>
          <w:sz w:val="20"/>
          <w:szCs w:val="20"/>
          <w:i w:val="1"/>
          <w:iCs w:val="1"/>
          <w:color w:val="auto"/>
        </w:rPr>
        <w:t>d</w:t>
      </w:r>
      <w:r>
        <w:rPr>
          <w:rFonts w:ascii="Times New Roman" w:cs="Times New Roman" w:eastAsia="Times New Roman" w:hAnsi="Times New Roman"/>
          <w:sz w:val="20"/>
          <w:szCs w:val="20"/>
          <w:color w:val="auto"/>
        </w:rPr>
        <w:t>) Universidades;</w:t>
      </w:r>
    </w:p>
    <w:p>
      <w:pPr>
        <w:ind w:left="460"/>
        <w:spacing w:after="0"/>
        <w:rPr>
          <w:sz w:val="20"/>
          <w:szCs w:val="20"/>
          <w:color w:val="auto"/>
        </w:rPr>
      </w:pPr>
      <w:r>
        <w:rPr>
          <w:rFonts w:ascii="Times New Roman" w:cs="Times New Roman" w:eastAsia="Times New Roman" w:hAnsi="Times New Roman"/>
          <w:sz w:val="20"/>
          <w:szCs w:val="20"/>
          <w:i w:val="1"/>
          <w:iCs w:val="1"/>
          <w:color w:val="auto"/>
        </w:rPr>
        <w:t>e</w:t>
      </w:r>
      <w:r>
        <w:rPr>
          <w:rFonts w:ascii="Times New Roman" w:cs="Times New Roman" w:eastAsia="Times New Roman" w:hAnsi="Times New Roman"/>
          <w:sz w:val="20"/>
          <w:szCs w:val="20"/>
          <w:color w:val="auto"/>
        </w:rPr>
        <w:t>) Laboratórios;</w:t>
      </w:r>
    </w:p>
    <w:p>
      <w:pPr>
        <w:spacing w:after="0" w:line="1" w:lineRule="exact"/>
        <w:rPr>
          <w:sz w:val="20"/>
          <w:szCs w:val="20"/>
          <w:color w:val="auto"/>
        </w:rPr>
      </w:pPr>
    </w:p>
    <w:p>
      <w:pPr>
        <w:ind w:left="860" w:hanging="396"/>
        <w:spacing w:after="0" w:line="238" w:lineRule="auto"/>
        <w:rPr>
          <w:sz w:val="20"/>
          <w:szCs w:val="20"/>
          <w:color w:val="auto"/>
        </w:rPr>
      </w:pPr>
      <w:r>
        <w:rPr>
          <w:rFonts w:ascii="Times New Roman" w:cs="Times New Roman" w:eastAsia="Times New Roman" w:hAnsi="Times New Roman"/>
          <w:sz w:val="20"/>
          <w:szCs w:val="20"/>
          <w:i w:val="1"/>
          <w:iCs w:val="1"/>
          <w:color w:val="auto"/>
        </w:rPr>
        <w:t>f</w:t>
      </w:r>
      <w:r>
        <w:rPr>
          <w:rFonts w:ascii="Arial" w:cs="Arial" w:eastAsia="Arial" w:hAnsi="Arial"/>
          <w:sz w:val="20"/>
          <w:szCs w:val="20"/>
          <w:color w:val="auto"/>
        </w:rPr>
        <w:t>) Associações económicas, de profissionais, de investi-</w:t>
      </w:r>
      <w:r>
        <w:rPr>
          <w:rFonts w:ascii="Times New Roman" w:cs="Times New Roman" w:eastAsia="Times New Roman" w:hAnsi="Times New Roman"/>
          <w:sz w:val="20"/>
          <w:szCs w:val="20"/>
          <w:color w:val="auto"/>
        </w:rPr>
        <w:t>gadores;</w:t>
      </w:r>
    </w:p>
    <w:p>
      <w:pPr>
        <w:spacing w:after="0" w:line="2" w:lineRule="exact"/>
        <w:rPr>
          <w:sz w:val="20"/>
          <w:szCs w:val="20"/>
          <w:color w:val="auto"/>
        </w:rPr>
      </w:pPr>
    </w:p>
    <w:p>
      <w:pPr>
        <w:ind w:left="460" w:right="1100"/>
        <w:spacing w:after="0" w:line="239" w:lineRule="auto"/>
        <w:rPr>
          <w:sz w:val="20"/>
          <w:szCs w:val="20"/>
          <w:color w:val="auto"/>
        </w:rPr>
      </w:pPr>
      <w:r>
        <w:rPr>
          <w:rFonts w:ascii="Times New Roman" w:cs="Times New Roman" w:eastAsia="Times New Roman" w:hAnsi="Times New Roman"/>
          <w:sz w:val="20"/>
          <w:szCs w:val="20"/>
          <w:i w:val="1"/>
          <w:iCs w:val="1"/>
          <w:color w:val="auto"/>
        </w:rPr>
        <w:t>g</w:t>
      </w:r>
      <w:r>
        <w:rPr>
          <w:rFonts w:ascii="Times New Roman" w:cs="Times New Roman" w:eastAsia="Times New Roman" w:hAnsi="Times New Roman"/>
          <w:sz w:val="20"/>
          <w:szCs w:val="20"/>
          <w:color w:val="auto"/>
        </w:rPr>
        <w:t>) Associações de defesa dos consumidores;</w:t>
      </w:r>
      <w:r>
        <w:rPr>
          <w:rFonts w:ascii="Times New Roman" w:cs="Times New Roman" w:eastAsia="Times New Roman" w:hAnsi="Times New Roman"/>
          <w:sz w:val="20"/>
          <w:szCs w:val="20"/>
          <w:i w:val="1"/>
          <w:iCs w:val="1"/>
          <w:color w:val="auto"/>
        </w:rPr>
        <w:t xml:space="preserve"> h</w:t>
      </w:r>
      <w:r>
        <w:rPr>
          <w:rFonts w:ascii="Times New Roman" w:cs="Times New Roman" w:eastAsia="Times New Roman" w:hAnsi="Times New Roman"/>
          <w:sz w:val="20"/>
          <w:szCs w:val="20"/>
          <w:color w:val="auto"/>
        </w:rPr>
        <w:t>) Organizações Não Governamentais; e</w:t>
      </w:r>
      <w:r>
        <w:rPr>
          <w:rFonts w:ascii="Times New Roman" w:cs="Times New Roman" w:eastAsia="Times New Roman" w:hAnsi="Times New Roman"/>
          <w:sz w:val="20"/>
          <w:szCs w:val="20"/>
          <w:i w:val="1"/>
          <w:iCs w:val="1"/>
          <w:color w:val="auto"/>
        </w:rPr>
        <w:t xml:space="preserve"> i</w:t>
      </w:r>
      <w:r>
        <w:rPr>
          <w:rFonts w:ascii="Times New Roman" w:cs="Times New Roman" w:eastAsia="Times New Roman" w:hAnsi="Times New Roman"/>
          <w:sz w:val="20"/>
          <w:szCs w:val="20"/>
          <w:color w:val="auto"/>
        </w:rPr>
        <w:t>) Singulares.</w:t>
      </w:r>
    </w:p>
    <w:p>
      <w:pPr>
        <w:spacing w:after="0" w:line="173"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6</w:t>
      </w:r>
    </w:p>
    <w:p>
      <w:pPr>
        <w:spacing w:after="0" w:line="129" w:lineRule="exact"/>
        <w:rPr>
          <w:sz w:val="20"/>
          <w:szCs w:val="20"/>
          <w:color w:val="auto"/>
        </w:rPr>
      </w:pPr>
    </w:p>
    <w:p>
      <w:pPr>
        <w:ind w:left="1940"/>
        <w:spacing w:after="0"/>
        <w:rPr>
          <w:sz w:val="20"/>
          <w:szCs w:val="20"/>
          <w:color w:val="auto"/>
        </w:rPr>
      </w:pPr>
      <w:r>
        <w:rPr>
          <w:rFonts w:ascii="Arial" w:cs="Arial" w:eastAsia="Arial" w:hAnsi="Arial"/>
          <w:sz w:val="16"/>
          <w:szCs w:val="16"/>
          <w:b w:val="1"/>
          <w:bCs w:val="1"/>
          <w:color w:val="auto"/>
        </w:rPr>
        <w:t>(Competências)</w:t>
      </w:r>
    </w:p>
    <w:p>
      <w:pPr>
        <w:spacing w:after="0" w:line="134" w:lineRule="exact"/>
        <w:rPr>
          <w:sz w:val="20"/>
          <w:szCs w:val="20"/>
          <w:color w:val="auto"/>
        </w:rPr>
      </w:pPr>
    </w:p>
    <w:p>
      <w:pPr>
        <w:ind w:firstLine="227"/>
        <w:spacing w:after="0" w:line="239" w:lineRule="auto"/>
        <w:tabs>
          <w:tab w:leader="none" w:pos="404" w:val="left"/>
        </w:tabs>
        <w:numPr>
          <w:ilvl w:val="0"/>
          <w:numId w:val="3"/>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Compete, em especial, ao Instituto Nacional de Normalização e Qualidade (INNOQ, IP):</w:t>
      </w:r>
    </w:p>
    <w:p>
      <w:pPr>
        <w:spacing w:after="0" w:line="59" w:lineRule="exact"/>
        <w:rPr>
          <w:sz w:val="20"/>
          <w:szCs w:val="20"/>
          <w:color w:val="auto"/>
        </w:rPr>
      </w:pPr>
    </w:p>
    <w:p>
      <w:pPr>
        <w:jc w:val="both"/>
        <w:ind w:left="86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a</w:t>
      </w:r>
      <w:r>
        <w:rPr>
          <w:rFonts w:ascii="Times New Roman" w:cs="Times New Roman" w:eastAsia="Times New Roman" w:hAnsi="Times New Roman"/>
          <w:sz w:val="20"/>
          <w:szCs w:val="20"/>
          <w:color w:val="auto"/>
        </w:rPr>
        <w:t>) coordenar e desenvolver actividades de normalização no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país em conjunto com outros intervenientes;</w:t>
      </w:r>
    </w:p>
    <w:p>
      <w:pPr>
        <w:spacing w:after="0" w:line="1"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20"/>
          <w:szCs w:val="20"/>
          <w:i w:val="1"/>
          <w:iCs w:val="1"/>
          <w:color w:val="auto"/>
        </w:rPr>
        <w:t>b</w:t>
      </w:r>
      <w:r>
        <w:rPr>
          <w:rFonts w:ascii="Times New Roman" w:cs="Times New Roman" w:eastAsia="Times New Roman" w:hAnsi="Times New Roman"/>
          <w:sz w:val="20"/>
          <w:szCs w:val="20"/>
          <w:color w:val="auto"/>
        </w:rPr>
        <w:t>) gerir a marca nacional da conformidade;</w:t>
      </w:r>
    </w:p>
    <w:p>
      <w:pPr>
        <w:spacing w:after="0" w:line="1"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c</w:t>
      </w:r>
      <w:r>
        <w:rPr>
          <w:rFonts w:ascii="Times New Roman" w:cs="Times New Roman" w:eastAsia="Times New Roman" w:hAnsi="Times New Roman"/>
          <w:sz w:val="20"/>
          <w:szCs w:val="20"/>
          <w:color w:val="auto"/>
        </w:rPr>
        <w:t>) designar os organismos de avaliação da conformidade para</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uso da marca nacional de avaliação da conformidade nos produtos avaliados;</w:t>
      </w:r>
    </w:p>
    <w:p>
      <w:pPr>
        <w:spacing w:after="0" w:line="3"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d</w:t>
      </w:r>
      <w:r>
        <w:rPr>
          <w:rFonts w:ascii="Times New Roman" w:cs="Times New Roman" w:eastAsia="Times New Roman" w:hAnsi="Times New Roman"/>
          <w:sz w:val="20"/>
          <w:szCs w:val="20"/>
          <w:color w:val="auto"/>
        </w:rPr>
        <w:t>) reconhecer a competência técnica dos organismos de</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avaliação da conformidade, enquanto a entidade de acreditação não estiver criada;</w:t>
      </w:r>
    </w:p>
    <w:p>
      <w:pPr>
        <w:spacing w:after="0" w:line="3" w:lineRule="exact"/>
        <w:rPr>
          <w:sz w:val="20"/>
          <w:szCs w:val="20"/>
          <w:color w:val="auto"/>
        </w:rPr>
      </w:pPr>
    </w:p>
    <w:p>
      <w:pPr>
        <w:jc w:val="right"/>
        <w:ind w:left="460"/>
        <w:spacing w:after="0" w:line="239" w:lineRule="auto"/>
        <w:rPr>
          <w:sz w:val="20"/>
          <w:szCs w:val="20"/>
          <w:color w:val="auto"/>
        </w:rPr>
      </w:pPr>
      <w:r>
        <w:rPr>
          <w:rFonts w:ascii="Times New Roman" w:cs="Times New Roman" w:eastAsia="Times New Roman" w:hAnsi="Times New Roman"/>
          <w:sz w:val="20"/>
          <w:szCs w:val="20"/>
          <w:i w:val="1"/>
          <w:iCs w:val="1"/>
          <w:color w:val="auto"/>
        </w:rPr>
        <w:t>e</w:t>
      </w:r>
      <w:r>
        <w:rPr>
          <w:rFonts w:ascii="Times New Roman" w:cs="Times New Roman" w:eastAsia="Times New Roman" w:hAnsi="Times New Roman"/>
          <w:sz w:val="20"/>
          <w:szCs w:val="20"/>
          <w:color w:val="auto"/>
        </w:rPr>
        <w:t>) implementar Normas Técnicas Moçambicanas que</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 xml:space="preserve">fundamentem os regulamentos técnicos elaborados pelas entidades com competência legal de regulação. </w:t>
      </w:r>
      <w:r>
        <w:rPr>
          <w:rFonts w:ascii="Times New Roman" w:cs="Times New Roman" w:eastAsia="Times New Roman" w:hAnsi="Times New Roman"/>
          <w:sz w:val="20"/>
          <w:szCs w:val="20"/>
          <w:i w:val="1"/>
          <w:iCs w:val="1"/>
          <w:color w:val="auto"/>
        </w:rPr>
        <w:t>f</w:t>
      </w:r>
      <w:r>
        <w:rPr>
          <w:rFonts w:ascii="Times New Roman" w:cs="Times New Roman" w:eastAsia="Times New Roman" w:hAnsi="Times New Roman"/>
          <w:sz w:val="20"/>
          <w:szCs w:val="20"/>
          <w:color w:val="auto"/>
        </w:rPr>
        <w:t>) decidir sobre a delegação de competências a outras</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entidades públicas e privadas, mediante um processo</w:t>
      </w:r>
    </w:p>
    <w:p>
      <w:pPr>
        <w:ind w:left="860"/>
        <w:spacing w:after="0" w:line="234" w:lineRule="auto"/>
        <w:rPr>
          <w:sz w:val="20"/>
          <w:szCs w:val="20"/>
          <w:color w:val="auto"/>
        </w:rPr>
      </w:pPr>
      <w:r>
        <w:rPr>
          <w:rFonts w:ascii="Arial" w:cs="Arial" w:eastAsia="Arial" w:hAnsi="Arial"/>
          <w:sz w:val="20"/>
          <w:szCs w:val="20"/>
          <w:color w:val="auto"/>
        </w:rPr>
        <w:t>de prévia qualificação;</w:t>
      </w:r>
    </w:p>
    <w:p>
      <w:pPr>
        <w:spacing w:after="0" w:line="1" w:lineRule="exact"/>
        <w:rPr>
          <w:sz w:val="20"/>
          <w:szCs w:val="20"/>
          <w:color w:val="auto"/>
        </w:rPr>
      </w:pPr>
    </w:p>
    <w:p>
      <w:pPr>
        <w:jc w:val="both"/>
        <w:ind w:left="860" w:hanging="396"/>
        <w:spacing w:after="0" w:line="229" w:lineRule="auto"/>
        <w:rPr>
          <w:sz w:val="20"/>
          <w:szCs w:val="20"/>
          <w:color w:val="auto"/>
        </w:rPr>
      </w:pPr>
      <w:r>
        <w:rPr>
          <w:rFonts w:ascii="Times New Roman" w:cs="Times New Roman" w:eastAsia="Times New Roman" w:hAnsi="Times New Roman"/>
          <w:sz w:val="20"/>
          <w:szCs w:val="20"/>
          <w:i w:val="1"/>
          <w:iCs w:val="1"/>
          <w:color w:val="auto"/>
        </w:rPr>
        <w:t>g</w:t>
      </w:r>
      <w:r>
        <w:rPr>
          <w:rFonts w:ascii="Times New Roman" w:cs="Times New Roman" w:eastAsia="Times New Roman" w:hAnsi="Times New Roman"/>
          <w:sz w:val="20"/>
          <w:szCs w:val="20"/>
          <w:color w:val="auto"/>
        </w:rPr>
        <w:t>) verificar a conformidade de produtos nacionais</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e importados;</w:t>
      </w:r>
    </w:p>
    <w:p>
      <w:pPr>
        <w:spacing w:after="0" w:line="1" w:lineRule="exact"/>
        <w:rPr>
          <w:sz w:val="20"/>
          <w:szCs w:val="20"/>
          <w:color w:val="auto"/>
        </w:rPr>
      </w:pPr>
    </w:p>
    <w:p>
      <w:pPr>
        <w:jc w:val="right"/>
        <w:ind w:left="460"/>
        <w:spacing w:after="0" w:line="254" w:lineRule="auto"/>
        <w:rPr>
          <w:sz w:val="20"/>
          <w:szCs w:val="20"/>
          <w:color w:val="auto"/>
        </w:rPr>
      </w:pPr>
      <w:r>
        <w:rPr>
          <w:rFonts w:ascii="Times New Roman" w:cs="Times New Roman" w:eastAsia="Times New Roman" w:hAnsi="Times New Roman"/>
          <w:sz w:val="18"/>
          <w:szCs w:val="18"/>
          <w:i w:val="1"/>
          <w:iCs w:val="1"/>
          <w:color w:val="auto"/>
        </w:rPr>
        <w:t>h</w:t>
      </w:r>
      <w:r>
        <w:rPr>
          <w:rFonts w:ascii="Times New Roman" w:cs="Times New Roman" w:eastAsia="Times New Roman" w:hAnsi="Times New Roman"/>
          <w:sz w:val="18"/>
          <w:szCs w:val="18"/>
          <w:color w:val="auto"/>
        </w:rPr>
        <w:t>) realizar actividades de inspecção técnica de equipamentos;</w:t>
      </w:r>
      <w:r>
        <w:rPr>
          <w:rFonts w:ascii="Times New Roman" w:cs="Times New Roman" w:eastAsia="Times New Roman" w:hAnsi="Times New Roman"/>
          <w:sz w:val="18"/>
          <w:szCs w:val="18"/>
          <w:i w:val="1"/>
          <w:iCs w:val="1"/>
          <w:color w:val="auto"/>
        </w:rPr>
        <w:t xml:space="preserve"> i</w:t>
      </w:r>
      <w:r>
        <w:rPr>
          <w:rFonts w:ascii="Arial" w:cs="Arial" w:eastAsia="Arial" w:hAnsi="Arial"/>
          <w:sz w:val="18"/>
          <w:szCs w:val="18"/>
          <w:color w:val="auto"/>
        </w:rPr>
        <w:t>) certificar a conformidade de sistemas de gestão, produtos,</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processos, serviços e pessoas com as Normas Técnicas Moçambicanas e na falta destas com as Normas</w:t>
      </w:r>
    </w:p>
    <w:p>
      <w:pPr>
        <w:ind w:left="860"/>
        <w:spacing w:after="0" w:line="231" w:lineRule="auto"/>
        <w:rPr>
          <w:sz w:val="20"/>
          <w:szCs w:val="20"/>
          <w:color w:val="auto"/>
        </w:rPr>
      </w:pPr>
      <w:r>
        <w:rPr>
          <w:rFonts w:ascii="Times New Roman" w:cs="Times New Roman" w:eastAsia="Times New Roman" w:hAnsi="Times New Roman"/>
          <w:sz w:val="20"/>
          <w:szCs w:val="20"/>
          <w:color w:val="auto"/>
        </w:rPr>
        <w:t>Técnicas Internacionais;</w:t>
      </w:r>
    </w:p>
    <w:p>
      <w:pPr>
        <w:spacing w:after="0" w:line="1" w:lineRule="exact"/>
        <w:rPr>
          <w:sz w:val="20"/>
          <w:szCs w:val="20"/>
          <w:color w:val="auto"/>
        </w:rPr>
      </w:pPr>
    </w:p>
    <w:p>
      <w:pPr>
        <w:jc w:val="both"/>
        <w:ind w:left="800" w:right="20" w:hanging="396"/>
        <w:spacing w:after="0" w:line="229" w:lineRule="auto"/>
        <w:tabs>
          <w:tab w:leader="none" w:pos="780" w:val="left"/>
        </w:tabs>
        <w:rPr>
          <w:sz w:val="20"/>
          <w:szCs w:val="20"/>
          <w:color w:val="auto"/>
        </w:rPr>
      </w:pPr>
      <w:r>
        <w:rPr>
          <w:rFonts w:ascii="Times New Roman" w:cs="Times New Roman" w:eastAsia="Times New Roman" w:hAnsi="Times New Roman"/>
          <w:sz w:val="20"/>
          <w:szCs w:val="20"/>
          <w:i w:val="1"/>
          <w:iCs w:val="1"/>
          <w:color w:val="auto"/>
        </w:rPr>
        <w:t>j</w:t>
      </w:r>
      <w:r>
        <w:rPr>
          <w:rFonts w:ascii="Times New Roman" w:cs="Times New Roman" w:eastAsia="Times New Roman" w:hAnsi="Times New Roman"/>
          <w:sz w:val="20"/>
          <w:szCs w:val="20"/>
          <w:color w:val="auto"/>
        </w:rPr>
        <w:t>)</w:t>
      </w:r>
      <w:r>
        <w:rPr>
          <w:sz w:val="20"/>
          <w:szCs w:val="20"/>
          <w:color w:val="auto"/>
        </w:rPr>
        <w:tab/>
      </w:r>
      <w:r>
        <w:rPr>
          <w:rFonts w:ascii="Times New Roman" w:cs="Times New Roman" w:eastAsia="Times New Roman" w:hAnsi="Times New Roman"/>
          <w:sz w:val="20"/>
          <w:szCs w:val="20"/>
          <w:color w:val="auto"/>
        </w:rPr>
        <w:t>desenvolver e gerir Programas de Avaliação da Conformidade; e</w:t>
      </w:r>
    </w:p>
    <w:p>
      <w:pPr>
        <w:spacing w:after="0" w:line="1" w:lineRule="exact"/>
        <w:rPr>
          <w:sz w:val="20"/>
          <w:szCs w:val="20"/>
          <w:color w:val="auto"/>
        </w:rPr>
      </w:pPr>
    </w:p>
    <w:p>
      <w:pPr>
        <w:jc w:val="center"/>
        <w:ind w:left="440" w:right="20"/>
        <w:spacing w:after="0" w:line="234" w:lineRule="auto"/>
        <w:rPr>
          <w:sz w:val="20"/>
          <w:szCs w:val="20"/>
          <w:color w:val="auto"/>
        </w:rPr>
      </w:pPr>
      <w:r>
        <w:rPr>
          <w:rFonts w:ascii="Times New Roman" w:cs="Times New Roman" w:eastAsia="Times New Roman" w:hAnsi="Times New Roman"/>
          <w:sz w:val="20"/>
          <w:szCs w:val="20"/>
          <w:i w:val="1"/>
          <w:iCs w:val="1"/>
          <w:color w:val="auto"/>
        </w:rPr>
        <w:t>k</w:t>
      </w:r>
      <w:r>
        <w:rPr>
          <w:rFonts w:ascii="Times New Roman" w:cs="Times New Roman" w:eastAsia="Times New Roman" w:hAnsi="Times New Roman"/>
          <w:sz w:val="20"/>
          <w:szCs w:val="20"/>
          <w:color w:val="auto"/>
        </w:rPr>
        <w:t>) estabelecer directrizes e critérios para as Actividades</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de Normalização e Avaliação da Conformidade.</w:t>
      </w:r>
    </w:p>
    <w:p>
      <w:pPr>
        <w:spacing w:after="0" w:line="48" w:lineRule="exact"/>
        <w:rPr>
          <w:sz w:val="20"/>
          <w:szCs w:val="20"/>
          <w:color w:val="auto"/>
        </w:rPr>
      </w:pPr>
    </w:p>
    <w:p>
      <w:pPr>
        <w:ind w:right="20" w:firstLine="227"/>
        <w:spacing w:after="0" w:line="234" w:lineRule="auto"/>
        <w:tabs>
          <w:tab w:leader="none" w:pos="442" w:val="left"/>
        </w:tabs>
        <w:numPr>
          <w:ilvl w:val="0"/>
          <w:numId w:val="4"/>
        </w:numPr>
        <w:rPr>
          <w:rFonts w:ascii="Arial" w:cs="Arial" w:eastAsia="Arial" w:hAnsi="Arial"/>
          <w:sz w:val="20"/>
          <w:szCs w:val="20"/>
          <w:color w:val="auto"/>
        </w:rPr>
      </w:pPr>
      <w:r>
        <w:rPr>
          <w:rFonts w:ascii="Arial" w:cs="Arial" w:eastAsia="Arial" w:hAnsi="Arial"/>
          <w:sz w:val="20"/>
          <w:szCs w:val="20"/>
          <w:color w:val="auto"/>
        </w:rPr>
        <w:t xml:space="preserve">As competências de outros intervenientes estão definidas </w:t>
      </w:r>
      <w:r>
        <w:rPr>
          <w:rFonts w:ascii="Times New Roman" w:cs="Times New Roman" w:eastAsia="Times New Roman" w:hAnsi="Times New Roman"/>
          <w:sz w:val="20"/>
          <w:szCs w:val="20"/>
          <w:color w:val="auto"/>
        </w:rPr>
        <w:t>nos seus respectivos estatutos.</w:t>
      </w:r>
    </w:p>
    <w:p>
      <w:pPr>
        <w:spacing w:after="0" w:line="160"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CAPÍTULO III</w:t>
      </w:r>
    </w:p>
    <w:p>
      <w:pPr>
        <w:spacing w:after="0" w:line="110"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Normas Técnicas Moçambicanas</w:t>
      </w:r>
    </w:p>
    <w:p>
      <w:pPr>
        <w:spacing w:after="0" w:line="63"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7</w:t>
      </w:r>
    </w:p>
    <w:p>
      <w:pPr>
        <w:spacing w:after="0" w:line="129" w:lineRule="exact"/>
        <w:rPr>
          <w:sz w:val="20"/>
          <w:szCs w:val="20"/>
          <w:color w:val="auto"/>
        </w:rPr>
      </w:pPr>
    </w:p>
    <w:p>
      <w:pPr>
        <w:ind w:left="740"/>
        <w:spacing w:after="0"/>
        <w:rPr>
          <w:sz w:val="20"/>
          <w:szCs w:val="20"/>
          <w:color w:val="auto"/>
        </w:rPr>
      </w:pPr>
      <w:r>
        <w:rPr>
          <w:rFonts w:ascii="Arial" w:cs="Arial" w:eastAsia="Arial" w:hAnsi="Arial"/>
          <w:sz w:val="16"/>
          <w:szCs w:val="16"/>
          <w:b w:val="1"/>
          <w:bCs w:val="1"/>
          <w:color w:val="auto"/>
        </w:rPr>
        <w:t>(Estatuto das Normas Técnicas Moçambicanas)</w:t>
      </w:r>
    </w:p>
    <w:p>
      <w:pPr>
        <w:spacing w:after="0" w:line="124" w:lineRule="exact"/>
        <w:rPr>
          <w:sz w:val="20"/>
          <w:szCs w:val="20"/>
          <w:color w:val="auto"/>
        </w:rPr>
      </w:pPr>
    </w:p>
    <w:p>
      <w:pPr>
        <w:jc w:val="both"/>
        <w:ind w:firstLine="227"/>
        <w:spacing w:after="0" w:line="232" w:lineRule="auto"/>
        <w:tabs>
          <w:tab w:leader="none" w:pos="466" w:val="left"/>
        </w:tabs>
        <w:numPr>
          <w:ilvl w:val="0"/>
          <w:numId w:val="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As Normas Técnicas Moçambicanas têm um carácter voluntário cuja aplicação depende da necessidade da sua utilização.</w:t>
      </w:r>
    </w:p>
    <w:p>
      <w:pPr>
        <w:spacing w:after="0" w:line="20" w:lineRule="exact"/>
        <w:rPr>
          <w:sz w:val="20"/>
          <w:szCs w:val="20"/>
          <w:color w:val="auto"/>
        </w:rPr>
      </w:pPr>
      <w:r>
        <w:rPr>
          <w:sz w:val="20"/>
          <w:szCs w:val="20"/>
          <w:color w:val="auto"/>
        </w:rPr>
        <w:br w:type="column"/>
      </w:r>
    </w:p>
    <w:p>
      <w:pPr>
        <w:jc w:val="center"/>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8</w:t>
      </w:r>
    </w:p>
    <w:p>
      <w:pPr>
        <w:spacing w:after="0" w:line="129" w:lineRule="exact"/>
        <w:rPr>
          <w:sz w:val="20"/>
          <w:szCs w:val="20"/>
          <w:color w:val="auto"/>
        </w:rPr>
      </w:pPr>
    </w:p>
    <w:p>
      <w:pPr>
        <w:ind w:left="2060"/>
        <w:spacing w:after="0"/>
        <w:rPr>
          <w:sz w:val="20"/>
          <w:szCs w:val="20"/>
          <w:color w:val="auto"/>
        </w:rPr>
      </w:pPr>
      <w:r>
        <w:rPr>
          <w:rFonts w:ascii="Arial" w:cs="Arial" w:eastAsia="Arial" w:hAnsi="Arial"/>
          <w:sz w:val="16"/>
          <w:szCs w:val="16"/>
          <w:b w:val="1"/>
          <w:bCs w:val="1"/>
          <w:color w:val="auto"/>
        </w:rPr>
        <w:t>(Elaboração)</w:t>
      </w:r>
    </w:p>
    <w:p>
      <w:pPr>
        <w:spacing w:after="0" w:line="134" w:lineRule="exact"/>
        <w:rPr>
          <w:sz w:val="20"/>
          <w:szCs w:val="20"/>
          <w:color w:val="auto"/>
        </w:rPr>
      </w:pPr>
    </w:p>
    <w:p>
      <w:pPr>
        <w:jc w:val="both"/>
        <w:ind w:firstLine="224"/>
        <w:spacing w:after="0" w:line="282" w:lineRule="auto"/>
        <w:tabs>
          <w:tab w:leader="none" w:pos="428" w:val="left"/>
        </w:tabs>
        <w:numPr>
          <w:ilvl w:val="0"/>
          <w:numId w:val="6"/>
        </w:numPr>
        <w:rPr>
          <w:rFonts w:ascii="Times New Roman" w:cs="Times New Roman" w:eastAsia="Times New Roman" w:hAnsi="Times New Roman"/>
          <w:sz w:val="17"/>
          <w:szCs w:val="17"/>
          <w:color w:val="auto"/>
        </w:rPr>
      </w:pPr>
      <w:r>
        <w:rPr>
          <w:rFonts w:ascii="Times New Roman" w:cs="Times New Roman" w:eastAsia="Times New Roman" w:hAnsi="Times New Roman"/>
          <w:sz w:val="17"/>
          <w:szCs w:val="17"/>
          <w:color w:val="auto"/>
        </w:rPr>
        <w:t xml:space="preserve">As Normas Técnicas Moçambicanas (NM) são elaboradas com base em normas internacionais, excepto quando tais normas internacionais ou seus elementos principais sejam um meio </w:t>
      </w:r>
      <w:r>
        <w:rPr>
          <w:rFonts w:ascii="Arial" w:cs="Arial" w:eastAsia="Arial" w:hAnsi="Arial"/>
          <w:sz w:val="17"/>
          <w:szCs w:val="17"/>
          <w:color w:val="auto"/>
        </w:rPr>
        <w:t>inadequado ou ineficaz para a realização dos objectivos legítimos.</w:t>
      </w:r>
    </w:p>
    <w:p>
      <w:pPr>
        <w:jc w:val="both"/>
        <w:ind w:firstLine="224"/>
        <w:spacing w:after="0" w:line="252" w:lineRule="auto"/>
        <w:tabs>
          <w:tab w:leader="none" w:pos="428" w:val="left"/>
        </w:tabs>
        <w:numPr>
          <w:ilvl w:val="0"/>
          <w:numId w:val="6"/>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color w:val="auto"/>
        </w:rPr>
        <w:t>As Normas Técnicas Moçambicanas (NM) são elaboradas pelas Comissões Técnicas de Normalização (CTN), pelas Subcomissões Técnicas de Normalização (SCTN) e pelos Grupos de Trabalho de Normalização (GTN), cuja composição provêm dos intervenientes referidos no artigo 5 do presente Regulamento.</w:t>
      </w:r>
    </w:p>
    <w:p>
      <w:pPr>
        <w:spacing w:after="0" w:line="3" w:lineRule="exact"/>
        <w:rPr>
          <w:rFonts w:ascii="Times New Roman" w:cs="Times New Roman" w:eastAsia="Times New Roman" w:hAnsi="Times New Roman"/>
          <w:sz w:val="19"/>
          <w:szCs w:val="19"/>
          <w:color w:val="auto"/>
        </w:rPr>
      </w:pPr>
    </w:p>
    <w:p>
      <w:pPr>
        <w:jc w:val="both"/>
        <w:ind w:firstLine="224"/>
        <w:spacing w:after="0" w:line="252" w:lineRule="auto"/>
        <w:tabs>
          <w:tab w:leader="none" w:pos="425" w:val="left"/>
        </w:tabs>
        <w:numPr>
          <w:ilvl w:val="0"/>
          <w:numId w:val="6"/>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color w:val="auto"/>
        </w:rPr>
        <w:t>Quando não houver Normas Técnicas Moçambicanas para determinado produto, processo ou serviço, cabe a autoridade regulamentadora solicitar a sua elaboração ao INNOQ, IP.</w:t>
      </w:r>
    </w:p>
    <w:p>
      <w:pPr>
        <w:spacing w:after="0" w:line="1" w:lineRule="exact"/>
        <w:rPr>
          <w:rFonts w:ascii="Times New Roman" w:cs="Times New Roman" w:eastAsia="Times New Roman" w:hAnsi="Times New Roman"/>
          <w:sz w:val="19"/>
          <w:szCs w:val="19"/>
          <w:color w:val="auto"/>
        </w:rPr>
      </w:pPr>
    </w:p>
    <w:p>
      <w:pPr>
        <w:jc w:val="both"/>
        <w:ind w:firstLine="224"/>
        <w:spacing w:after="0" w:line="239" w:lineRule="auto"/>
        <w:tabs>
          <w:tab w:leader="none" w:pos="436" w:val="left"/>
        </w:tabs>
        <w:numPr>
          <w:ilvl w:val="0"/>
          <w:numId w:val="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O INNOQ, IP, deve convidar todas as partes interessadas a participar das Comissões Técnicas de Normalização (CTN), das Subcomissões Técnicas de Normalização (SCTN) e dos Grupos de Trabalho de Normalização (GTN).</w:t>
      </w:r>
    </w:p>
    <w:p>
      <w:pPr>
        <w:spacing w:after="0" w:line="17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9</w:t>
      </w:r>
    </w:p>
    <w:p>
      <w:pPr>
        <w:spacing w:after="0" w:line="129" w:lineRule="exact"/>
        <w:rPr>
          <w:sz w:val="20"/>
          <w:szCs w:val="20"/>
          <w:color w:val="auto"/>
        </w:rPr>
      </w:pPr>
    </w:p>
    <w:p>
      <w:pPr>
        <w:ind w:left="700"/>
        <w:spacing w:after="0"/>
        <w:rPr>
          <w:sz w:val="20"/>
          <w:szCs w:val="20"/>
          <w:color w:val="auto"/>
        </w:rPr>
      </w:pPr>
      <w:r>
        <w:rPr>
          <w:rFonts w:ascii="Arial" w:cs="Arial" w:eastAsia="Arial" w:hAnsi="Arial"/>
          <w:sz w:val="16"/>
          <w:szCs w:val="16"/>
          <w:b w:val="1"/>
          <w:bCs w:val="1"/>
          <w:color w:val="auto"/>
        </w:rPr>
        <w:t>(Aprovação, homologação, edição e publicação)</w:t>
      </w:r>
    </w:p>
    <w:p>
      <w:pPr>
        <w:spacing w:after="0" w:line="134" w:lineRule="exact"/>
        <w:rPr>
          <w:sz w:val="20"/>
          <w:szCs w:val="20"/>
          <w:color w:val="auto"/>
        </w:rPr>
      </w:pPr>
    </w:p>
    <w:p>
      <w:pPr>
        <w:ind w:firstLine="224"/>
        <w:spacing w:after="0" w:line="239" w:lineRule="auto"/>
        <w:tabs>
          <w:tab w:leader="none" w:pos="478" w:val="left"/>
        </w:tabs>
        <w:numPr>
          <w:ilvl w:val="0"/>
          <w:numId w:val="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As Normas Técnicas Moçambicanas são aprovadas pela Comissão Técnica de Normalização Sectorial (CTNS).</w:t>
      </w:r>
    </w:p>
    <w:p>
      <w:pPr>
        <w:spacing w:after="0" w:line="1" w:lineRule="exact"/>
        <w:rPr>
          <w:rFonts w:ascii="Times New Roman" w:cs="Times New Roman" w:eastAsia="Times New Roman" w:hAnsi="Times New Roman"/>
          <w:sz w:val="20"/>
          <w:szCs w:val="20"/>
          <w:color w:val="auto"/>
        </w:rPr>
      </w:pPr>
    </w:p>
    <w:p>
      <w:pPr>
        <w:jc w:val="both"/>
        <w:ind w:firstLine="224"/>
        <w:spacing w:after="0" w:line="239" w:lineRule="auto"/>
        <w:tabs>
          <w:tab w:leader="none" w:pos="414" w:val="left"/>
        </w:tabs>
        <w:numPr>
          <w:ilvl w:val="0"/>
          <w:numId w:val="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As Normas Técnicas Moçambicanas são homologadas pelo dirigente do INNOQ, IP, e a lista de homologação é publicada na III Série do </w:t>
      </w:r>
      <w:r>
        <w:rPr>
          <w:rFonts w:ascii="Times New Roman" w:cs="Times New Roman" w:eastAsia="Times New Roman" w:hAnsi="Times New Roman"/>
          <w:sz w:val="20"/>
          <w:szCs w:val="20"/>
          <w:i w:val="1"/>
          <w:iCs w:val="1"/>
          <w:color w:val="auto"/>
        </w:rPr>
        <w:t>Boletim da República</w:t>
      </w:r>
      <w:r>
        <w:rPr>
          <w:rFonts w:ascii="Times New Roman" w:cs="Times New Roman" w:eastAsia="Times New Roman" w:hAnsi="Times New Roman"/>
          <w:sz w:val="20"/>
          <w:szCs w:val="20"/>
          <w:color w:val="auto"/>
        </w:rPr>
        <w:t>.</w:t>
      </w:r>
    </w:p>
    <w:p>
      <w:pPr>
        <w:spacing w:after="0" w:line="2" w:lineRule="exact"/>
        <w:rPr>
          <w:rFonts w:ascii="Times New Roman" w:cs="Times New Roman" w:eastAsia="Times New Roman" w:hAnsi="Times New Roman"/>
          <w:sz w:val="20"/>
          <w:szCs w:val="20"/>
          <w:color w:val="auto"/>
        </w:rPr>
      </w:pPr>
    </w:p>
    <w:p>
      <w:pPr>
        <w:ind w:firstLine="224"/>
        <w:spacing w:after="0" w:line="239" w:lineRule="auto"/>
        <w:tabs>
          <w:tab w:leader="none" w:pos="420" w:val="left"/>
        </w:tabs>
        <w:numPr>
          <w:ilvl w:val="0"/>
          <w:numId w:val="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As Normas Técnicas Moçambicanas entram em vigor após a sua edição.</w:t>
      </w:r>
    </w:p>
    <w:p>
      <w:pPr>
        <w:spacing w:after="0" w:line="1" w:lineRule="exact"/>
        <w:rPr>
          <w:rFonts w:ascii="Times New Roman" w:cs="Times New Roman" w:eastAsia="Times New Roman" w:hAnsi="Times New Roman"/>
          <w:sz w:val="20"/>
          <w:szCs w:val="20"/>
          <w:color w:val="auto"/>
        </w:rPr>
      </w:pPr>
    </w:p>
    <w:p>
      <w:pPr>
        <w:jc w:val="both"/>
        <w:ind w:firstLine="224"/>
        <w:spacing w:after="0" w:line="239" w:lineRule="auto"/>
        <w:tabs>
          <w:tab w:leader="none" w:pos="464" w:val="left"/>
        </w:tabs>
        <w:numPr>
          <w:ilvl w:val="0"/>
          <w:numId w:val="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Só são consideradas Normas Técnicas Moçambicanas e apresentadas como tal perante organizações regionais e internacionais de normalização os textos elaborados de acordo com o estabelecido no presente Regulamento.</w:t>
      </w:r>
    </w:p>
    <w:p>
      <w:pPr>
        <w:spacing w:after="0" w:line="17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10</w:t>
      </w:r>
    </w:p>
    <w:p>
      <w:pPr>
        <w:spacing w:after="0" w:line="129" w:lineRule="exact"/>
        <w:rPr>
          <w:sz w:val="20"/>
          <w:szCs w:val="20"/>
          <w:color w:val="auto"/>
        </w:rPr>
      </w:pPr>
    </w:p>
    <w:p>
      <w:pPr>
        <w:ind w:left="1840"/>
        <w:spacing w:after="0"/>
        <w:rPr>
          <w:sz w:val="20"/>
          <w:szCs w:val="20"/>
          <w:color w:val="auto"/>
        </w:rPr>
      </w:pPr>
      <w:r>
        <w:rPr>
          <w:rFonts w:ascii="Arial" w:cs="Arial" w:eastAsia="Arial" w:hAnsi="Arial"/>
          <w:sz w:val="16"/>
          <w:szCs w:val="16"/>
          <w:b w:val="1"/>
          <w:bCs w:val="1"/>
          <w:color w:val="auto"/>
        </w:rPr>
        <w:t>(Análise e revisão)</w:t>
      </w:r>
    </w:p>
    <w:p>
      <w:pPr>
        <w:spacing w:after="0" w:line="134" w:lineRule="exact"/>
        <w:rPr>
          <w:sz w:val="20"/>
          <w:szCs w:val="20"/>
          <w:color w:val="auto"/>
        </w:rPr>
      </w:pPr>
    </w:p>
    <w:p>
      <w:pPr>
        <w:jc w:val="both"/>
        <w:ind w:firstLine="224"/>
        <w:spacing w:after="0" w:line="239" w:lineRule="auto"/>
        <w:tabs>
          <w:tab w:leader="none" w:pos="422" w:val="left"/>
        </w:tabs>
        <w:numPr>
          <w:ilvl w:val="0"/>
          <w:numId w:val="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 revisão das Normas Técnicas Moçambicanas é realizada de cinco em cinco anos, após análise e decisão pela respectiva comissão técnica.</w:t>
      </w:r>
    </w:p>
    <w:p>
      <w:pPr>
        <w:spacing w:after="0" w:line="2" w:lineRule="exact"/>
        <w:rPr>
          <w:rFonts w:ascii="Times New Roman" w:cs="Times New Roman" w:eastAsia="Times New Roman" w:hAnsi="Times New Roman"/>
          <w:sz w:val="20"/>
          <w:szCs w:val="20"/>
          <w:color w:val="auto"/>
        </w:rPr>
      </w:pPr>
    </w:p>
    <w:p>
      <w:pPr>
        <w:jc w:val="both"/>
        <w:ind w:firstLine="224"/>
        <w:spacing w:after="0" w:line="239" w:lineRule="auto"/>
        <w:tabs>
          <w:tab w:leader="none" w:pos="422" w:val="left"/>
        </w:tabs>
        <w:numPr>
          <w:ilvl w:val="0"/>
          <w:numId w:val="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 revisão das Normas Técnicas Moçambicanas é realizada antes do período acima determinado, caso o progresso tecnológico ou as condições económicas ou sociais assim o exijam, ou ainda, por solicitação da entidade com competência regulamentar na matéria.</w:t>
      </w:r>
    </w:p>
    <w:p>
      <w:pPr>
        <w:spacing w:after="0" w:line="4" w:lineRule="exact"/>
        <w:rPr>
          <w:rFonts w:ascii="Times New Roman" w:cs="Times New Roman" w:eastAsia="Times New Roman" w:hAnsi="Times New Roman"/>
          <w:sz w:val="20"/>
          <w:szCs w:val="20"/>
          <w:color w:val="auto"/>
        </w:rPr>
      </w:pPr>
    </w:p>
    <w:p>
      <w:pPr>
        <w:ind w:firstLine="224"/>
        <w:spacing w:after="0" w:line="239" w:lineRule="auto"/>
        <w:tabs>
          <w:tab w:leader="none" w:pos="463" w:val="left"/>
        </w:tabs>
        <w:numPr>
          <w:ilvl w:val="0"/>
          <w:numId w:val="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 revisão das Normas Técnicas Moçambicanas segue o processo idêntico ao da sua elaboração.</w:t>
      </w:r>
    </w:p>
    <w:p>
      <w:pPr>
        <w:spacing w:after="0" w:line="1" w:lineRule="exact"/>
        <w:rPr>
          <w:rFonts w:ascii="Times New Roman" w:cs="Times New Roman" w:eastAsia="Times New Roman" w:hAnsi="Times New Roman"/>
          <w:sz w:val="20"/>
          <w:szCs w:val="20"/>
          <w:color w:val="auto"/>
        </w:rPr>
      </w:pPr>
    </w:p>
    <w:p>
      <w:pPr>
        <w:jc w:val="both"/>
        <w:ind w:firstLine="224"/>
        <w:spacing w:after="0" w:line="255" w:lineRule="auto"/>
        <w:tabs>
          <w:tab w:leader="none" w:pos="409" w:val="left"/>
        </w:tabs>
        <w:numPr>
          <w:ilvl w:val="0"/>
          <w:numId w:val="8"/>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color w:val="auto"/>
        </w:rPr>
        <w:t>A revisão e revogação das Normas Técnicas Moçambicanas, referidas em regulamentos técnicos, são coordenadas pelo INNOQ, IP, com a participação de todas as entidades com competência regulamentar na matéria, que deverão integrar as respectivas Comissões Técnicas de Normalização.</w:t>
      </w:r>
    </w:p>
    <w:p>
      <w:pPr>
        <w:spacing w:after="0" w:line="15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11</w:t>
      </w:r>
    </w:p>
    <w:p>
      <w:pPr>
        <w:spacing w:after="0" w:line="129" w:lineRule="exact"/>
        <w:rPr>
          <w:sz w:val="20"/>
          <w:szCs w:val="20"/>
          <w:color w:val="auto"/>
        </w:rPr>
      </w:pPr>
    </w:p>
    <w:p>
      <w:pPr>
        <w:ind w:left="1600"/>
        <w:spacing w:after="0"/>
        <w:rPr>
          <w:sz w:val="20"/>
          <w:szCs w:val="20"/>
          <w:color w:val="auto"/>
        </w:rPr>
      </w:pPr>
      <w:r>
        <w:rPr>
          <w:rFonts w:ascii="Arial" w:cs="Arial" w:eastAsia="Arial" w:hAnsi="Arial"/>
          <w:sz w:val="16"/>
          <w:szCs w:val="16"/>
          <w:b w:val="1"/>
          <w:bCs w:val="1"/>
          <w:color w:val="auto"/>
        </w:rPr>
        <w:t>(Propriedade Intelectual)</w:t>
      </w:r>
    </w:p>
    <w:p>
      <w:pPr>
        <w:spacing w:after="0" w:line="124" w:lineRule="exact"/>
        <w:rPr>
          <w:sz w:val="20"/>
          <w:szCs w:val="20"/>
          <w:color w:val="auto"/>
        </w:rPr>
      </w:pPr>
    </w:p>
    <w:p>
      <w:pPr>
        <w:jc w:val="both"/>
        <w:ind w:firstLine="224"/>
        <w:spacing w:after="0" w:line="231" w:lineRule="auto"/>
        <w:tabs>
          <w:tab w:leader="none" w:pos="436" w:val="left"/>
        </w:tabs>
        <w:numPr>
          <w:ilvl w:val="0"/>
          <w:numId w:val="9"/>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As Normas Técnicas Moçambicanas e outras publicações normativas elaboradas e publicadas, de acordo com o processo estabelecido no presente Regulamento, são equiparadas às obras </w:t>
      </w:r>
      <w:r>
        <w:rPr>
          <w:rFonts w:ascii="Arial" w:cs="Arial" w:eastAsia="Arial" w:hAnsi="Arial"/>
          <w:sz w:val="20"/>
          <w:szCs w:val="20"/>
          <w:color w:val="auto"/>
        </w:rPr>
        <w:t xml:space="preserve">intelectuais colectivas, beneficiando da protecção nos termos </w:t>
      </w:r>
      <w:r>
        <w:rPr>
          <w:rFonts w:ascii="Times New Roman" w:cs="Times New Roman" w:eastAsia="Times New Roman" w:hAnsi="Times New Roman"/>
          <w:sz w:val="20"/>
          <w:szCs w:val="20"/>
          <w:color w:val="auto"/>
        </w:rPr>
        <w:t>da legislação aplicável.</w:t>
      </w:r>
    </w:p>
    <w:p>
      <w:pPr>
        <w:sectPr>
          <w:pgSz w:w="11900" w:h="16838" w:orient="portrait"/>
          <w:cols w:equalWidth="0" w:num="2">
            <w:col w:w="5100" w:space="360"/>
            <w:col w:w="5080"/>
          </w:cols>
          <w:pgMar w:left="680" w:top="801" w:right="686" w:bottom="89" w:gutter="0" w:footer="0" w:header="0"/>
          <w:type w:val="continuous"/>
        </w:sectPr>
      </w:pPr>
    </w:p>
    <w:bookmarkStart w:id="2" w:name="page3"/>
    <w:bookmarkEnd w:id="2"/>
    <w:tbl>
      <w:tblPr>
        <w:tblLayout w:type="fixed"/>
        <w:tblInd w:w="0" w:type="dxa"/>
        <w:tblCellMar>
          <w:top w:w="0" w:type="dxa"/>
          <w:left w:w="0" w:type="dxa"/>
          <w:bottom w:w="0" w:type="dxa"/>
          <w:right w:w="0" w:type="dxa"/>
        </w:tblCellMar>
      </w:tblPr>
      <w:tr>
        <w:trPr>
          <w:trHeight w:val="230"/>
        </w:trPr>
        <w:tc>
          <w:tcPr>
            <w:tcW w:w="6120" w:type="dxa"/>
            <w:vAlign w:val="bottom"/>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400" w:type="dxa"/>
            <w:vAlign w:val="bottom"/>
          </w:tcPr>
          <w:p>
            <w:pPr>
              <w:jc w:val="right"/>
              <w:spacing w:after="0"/>
              <w:rPr>
                <w:sz w:val="20"/>
                <w:szCs w:val="20"/>
                <w:color w:val="auto"/>
              </w:rPr>
            </w:pPr>
            <w:r>
              <w:rPr>
                <w:rFonts w:ascii="Times New Roman" w:cs="Times New Roman" w:eastAsia="Times New Roman" w:hAnsi="Times New Roman"/>
                <w:sz w:val="20"/>
                <w:szCs w:val="20"/>
                <w:color w:val="auto"/>
              </w:rPr>
              <w:t>347</w:t>
            </w:r>
          </w:p>
        </w:tc>
      </w:tr>
      <w:tr>
        <w:trPr>
          <w:trHeight w:val="40"/>
        </w:trPr>
        <w:tc>
          <w:tcPr>
            <w:tcW w:w="6120" w:type="dxa"/>
            <w:vAlign w:val="bottom"/>
            <w:tcBorders>
              <w:bottom w:val="single" w:sz="8" w:color="auto"/>
            </w:tcBorders>
          </w:tcPr>
          <w:p>
            <w:pPr>
              <w:spacing w:after="0"/>
              <w:rPr>
                <w:sz w:val="3"/>
                <w:szCs w:val="3"/>
                <w:color w:val="auto"/>
              </w:rPr>
            </w:pPr>
          </w:p>
        </w:tc>
        <w:tc>
          <w:tcPr>
            <w:tcW w:w="4400" w:type="dxa"/>
            <w:vAlign w:val="bottom"/>
            <w:tcBorders>
              <w:bottom w:val="single" w:sz="8" w:color="auto"/>
            </w:tcBorders>
          </w:tcPr>
          <w:p>
            <w:pPr>
              <w:spacing w:after="0"/>
              <w:rPr>
                <w:sz w:val="3"/>
                <w:szCs w:val="3"/>
                <w:color w:val="auto"/>
              </w:rPr>
            </w:pPr>
          </w:p>
        </w:tc>
      </w:tr>
    </w:tbl>
    <w:p>
      <w:pPr>
        <w:spacing w:after="0" w:line="200" w:lineRule="exact"/>
        <w:rPr>
          <w:sz w:val="20"/>
          <w:szCs w:val="20"/>
          <w:color w:val="auto"/>
        </w:rPr>
      </w:pPr>
    </w:p>
    <w:p>
      <w:pPr>
        <w:sectPr>
          <w:pgSz w:w="11900" w:h="16838" w:orient="portrait"/>
          <w:cols w:equalWidth="0" w:num="1">
            <w:col w:w="10540"/>
          </w:cols>
          <w:pgMar w:left="680" w:top="803" w:right="686" w:bottom="87" w:gutter="0" w:footer="0" w:header="0"/>
        </w:sectPr>
      </w:pPr>
    </w:p>
    <w:p>
      <w:pPr>
        <w:spacing w:after="0" w:line="36" w:lineRule="exact"/>
        <w:rPr>
          <w:sz w:val="20"/>
          <w:szCs w:val="20"/>
          <w:color w:val="auto"/>
        </w:rPr>
      </w:pPr>
    </w:p>
    <w:p>
      <w:pPr>
        <w:ind w:firstLine="227"/>
        <w:spacing w:after="0" w:line="264" w:lineRule="auto"/>
        <w:tabs>
          <w:tab w:leader="none" w:pos="408" w:val="left"/>
        </w:tabs>
        <w:numPr>
          <w:ilvl w:val="0"/>
          <w:numId w:val="10"/>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color w:val="auto"/>
        </w:rPr>
        <w:t>O direito de autor, correspondente às publicações normativas referidas no número anterior, pertence ao INNOQ, IP.</w:t>
      </w:r>
    </w:p>
    <w:p>
      <w:pPr>
        <w:spacing w:after="0" w:line="149"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CAPÍTULO IV</w:t>
      </w:r>
    </w:p>
    <w:p>
      <w:pPr>
        <w:spacing w:after="0" w:line="110"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Regulamentos Técnicos</w:t>
      </w:r>
    </w:p>
    <w:p>
      <w:pPr>
        <w:spacing w:after="0" w:line="73"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12</w:t>
      </w:r>
    </w:p>
    <w:p>
      <w:pPr>
        <w:spacing w:after="0" w:line="129" w:lineRule="exact"/>
        <w:rPr>
          <w:sz w:val="20"/>
          <w:szCs w:val="20"/>
          <w:color w:val="auto"/>
        </w:rPr>
      </w:pPr>
    </w:p>
    <w:p>
      <w:pPr>
        <w:ind w:left="2060"/>
        <w:spacing w:after="0"/>
        <w:rPr>
          <w:sz w:val="20"/>
          <w:szCs w:val="20"/>
          <w:color w:val="auto"/>
        </w:rPr>
      </w:pPr>
      <w:r>
        <w:rPr>
          <w:rFonts w:ascii="Arial" w:cs="Arial" w:eastAsia="Arial" w:hAnsi="Arial"/>
          <w:sz w:val="16"/>
          <w:szCs w:val="16"/>
          <w:b w:val="1"/>
          <w:bCs w:val="1"/>
          <w:color w:val="auto"/>
        </w:rPr>
        <w:t>(Elaboração)</w:t>
      </w:r>
    </w:p>
    <w:p>
      <w:pPr>
        <w:spacing w:after="0" w:line="134" w:lineRule="exact"/>
        <w:rPr>
          <w:sz w:val="20"/>
          <w:szCs w:val="20"/>
          <w:color w:val="auto"/>
        </w:rPr>
      </w:pPr>
    </w:p>
    <w:p>
      <w:pPr>
        <w:jc w:val="both"/>
        <w:ind w:right="20" w:firstLine="227"/>
        <w:spacing w:after="0" w:line="239" w:lineRule="auto"/>
        <w:tabs>
          <w:tab w:leader="none" w:pos="418" w:val="left"/>
        </w:tabs>
        <w:numPr>
          <w:ilvl w:val="0"/>
          <w:numId w:val="1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Os regulamentos técnicos são elaborados pelas autoridades competentes nas áreas em que o produto, processo ou serviço possa oferecer riscos à saúde e segurança do consumidor ou ao meio ambiente.</w:t>
      </w:r>
    </w:p>
    <w:p>
      <w:pPr>
        <w:spacing w:after="0" w:line="3" w:lineRule="exact"/>
        <w:rPr>
          <w:rFonts w:ascii="Times New Roman" w:cs="Times New Roman" w:eastAsia="Times New Roman" w:hAnsi="Times New Roman"/>
          <w:sz w:val="20"/>
          <w:szCs w:val="20"/>
          <w:color w:val="auto"/>
        </w:rPr>
      </w:pPr>
    </w:p>
    <w:p>
      <w:pPr>
        <w:ind w:right="20" w:firstLine="227"/>
        <w:spacing w:after="0" w:line="239" w:lineRule="auto"/>
        <w:tabs>
          <w:tab w:leader="none" w:pos="453" w:val="left"/>
        </w:tabs>
        <w:numPr>
          <w:ilvl w:val="0"/>
          <w:numId w:val="1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Na elaboração, aprovação e aplicação dos regulamentos técnicos deve-se observar o seguinte:</w:t>
      </w:r>
    </w:p>
    <w:p>
      <w:pPr>
        <w:spacing w:after="0" w:line="59"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a</w:t>
      </w:r>
      <w:r>
        <w:rPr>
          <w:rFonts w:ascii="Times New Roman" w:cs="Times New Roman" w:eastAsia="Times New Roman" w:hAnsi="Times New Roman"/>
          <w:sz w:val="20"/>
          <w:szCs w:val="20"/>
          <w:color w:val="auto"/>
        </w:rPr>
        <w:t>) os regulamentos técnicos devem basear-se em Normas</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Técnicas Moçambicanas ou na sua ausência em Normas Técnicas Regionais harmonizadas ou Normas Técnicas Internacionais;</w:t>
      </w:r>
    </w:p>
    <w:p>
      <w:pPr>
        <w:spacing w:after="0" w:line="4"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b</w:t>
      </w:r>
      <w:r>
        <w:rPr>
          <w:rFonts w:ascii="Times New Roman" w:cs="Times New Roman" w:eastAsia="Times New Roman" w:hAnsi="Times New Roman"/>
          <w:sz w:val="20"/>
          <w:szCs w:val="20"/>
          <w:color w:val="auto"/>
        </w:rPr>
        <w:t>) na elaboração dos regulamentos técnicos deve seguir-se</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o método de referência às normas; e</w:t>
      </w:r>
    </w:p>
    <w:p>
      <w:pPr>
        <w:spacing w:after="0" w:line="2"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c</w:t>
      </w:r>
      <w:r>
        <w:rPr>
          <w:rFonts w:ascii="Times New Roman" w:cs="Times New Roman" w:eastAsia="Times New Roman" w:hAnsi="Times New Roman"/>
          <w:sz w:val="20"/>
          <w:szCs w:val="20"/>
          <w:color w:val="auto"/>
        </w:rPr>
        <w:t>) os regulamentos técnicos não devem constituir barreiras</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técnicas desnecessárias ao comércio.</w:t>
      </w:r>
    </w:p>
    <w:p>
      <w:pPr>
        <w:spacing w:after="0" w:line="49" w:lineRule="exact"/>
        <w:rPr>
          <w:sz w:val="20"/>
          <w:szCs w:val="20"/>
          <w:color w:val="auto"/>
        </w:rPr>
      </w:pPr>
    </w:p>
    <w:p>
      <w:pPr>
        <w:jc w:val="both"/>
        <w:ind w:firstLine="227"/>
        <w:spacing w:after="0" w:line="254" w:lineRule="auto"/>
        <w:tabs>
          <w:tab w:leader="none" w:pos="444" w:val="left"/>
        </w:tabs>
        <w:numPr>
          <w:ilvl w:val="1"/>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Todo o regulamento técnico elaborado em conformidade com o prescrito nos números anteriores deve, antes da sua </w:t>
      </w:r>
      <w:r>
        <w:rPr>
          <w:rFonts w:ascii="Arial" w:cs="Arial" w:eastAsia="Arial" w:hAnsi="Arial"/>
          <w:sz w:val="18"/>
          <w:szCs w:val="18"/>
          <w:color w:val="auto"/>
        </w:rPr>
        <w:t>aprovação, ser remetido ao INNOQ, IP, para efeitos de notificação</w:t>
      </w:r>
    </w:p>
    <w:p>
      <w:pPr>
        <w:spacing w:after="0" w:line="1" w:lineRule="exact"/>
        <w:rPr>
          <w:rFonts w:ascii="Times New Roman" w:cs="Times New Roman" w:eastAsia="Times New Roman" w:hAnsi="Times New Roman"/>
          <w:sz w:val="18"/>
          <w:szCs w:val="18"/>
          <w:color w:val="auto"/>
        </w:rPr>
      </w:pPr>
    </w:p>
    <w:p>
      <w:pPr>
        <w:ind w:left="140" w:hanging="140"/>
        <w:spacing w:after="0" w:line="229" w:lineRule="auto"/>
        <w:tabs>
          <w:tab w:leader="none" w:pos="140" w:val="left"/>
        </w:tabs>
        <w:numPr>
          <w:ilvl w:val="0"/>
          <w:numId w:val="12"/>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Organização Mundial do Comércio (OMC).</w:t>
      </w:r>
    </w:p>
    <w:p>
      <w:pPr>
        <w:ind w:left="420" w:hanging="193"/>
        <w:spacing w:after="0"/>
        <w:tabs>
          <w:tab w:leader="none" w:pos="420" w:val="left"/>
        </w:tabs>
        <w:numPr>
          <w:ilvl w:val="1"/>
          <w:numId w:val="13"/>
        </w:numPr>
        <w:rPr>
          <w:rFonts w:ascii="Arial" w:cs="Arial" w:eastAsia="Arial" w:hAnsi="Arial"/>
          <w:sz w:val="18"/>
          <w:szCs w:val="18"/>
          <w:color w:val="auto"/>
        </w:rPr>
      </w:pPr>
      <w:r>
        <w:rPr>
          <w:rFonts w:ascii="Arial" w:cs="Arial" w:eastAsia="Arial" w:hAnsi="Arial"/>
          <w:sz w:val="18"/>
          <w:szCs w:val="18"/>
          <w:color w:val="auto"/>
        </w:rPr>
        <w:t>A notificação tem como fim colocar o regulamento técnico</w:t>
      </w:r>
    </w:p>
    <w:p>
      <w:pPr>
        <w:spacing w:after="0" w:line="13" w:lineRule="exact"/>
        <w:rPr>
          <w:rFonts w:ascii="Arial" w:cs="Arial" w:eastAsia="Arial" w:hAnsi="Arial"/>
          <w:sz w:val="18"/>
          <w:szCs w:val="18"/>
          <w:color w:val="auto"/>
        </w:rPr>
      </w:pPr>
    </w:p>
    <w:p>
      <w:pPr>
        <w:jc w:val="both"/>
        <w:ind w:right="20"/>
        <w:spacing w:after="0" w:line="232" w:lineRule="auto"/>
        <w:tabs>
          <w:tab w:leader="none" w:pos="149" w:val="left"/>
        </w:tabs>
        <w:numPr>
          <w:ilvl w:val="0"/>
          <w:numId w:val="13"/>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disposição das partes interessadas por um período de 60 dias para comentários de modo que, uma vez aprovado não constitua barreira técnica desnecessária ao comércio.</w:t>
      </w:r>
    </w:p>
    <w:p>
      <w:pPr>
        <w:spacing w:after="0" w:line="163"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13</w:t>
      </w:r>
    </w:p>
    <w:p>
      <w:pPr>
        <w:spacing w:after="0" w:line="129" w:lineRule="exact"/>
        <w:rPr>
          <w:sz w:val="20"/>
          <w:szCs w:val="20"/>
          <w:color w:val="auto"/>
        </w:rPr>
      </w:pPr>
    </w:p>
    <w:p>
      <w:pPr>
        <w:ind w:left="1320"/>
        <w:spacing w:after="0"/>
        <w:rPr>
          <w:sz w:val="20"/>
          <w:szCs w:val="20"/>
          <w:color w:val="auto"/>
        </w:rPr>
      </w:pPr>
      <w:r>
        <w:rPr>
          <w:rFonts w:ascii="Arial" w:cs="Arial" w:eastAsia="Arial" w:hAnsi="Arial"/>
          <w:sz w:val="16"/>
          <w:szCs w:val="16"/>
          <w:b w:val="1"/>
          <w:bCs w:val="1"/>
          <w:color w:val="auto"/>
        </w:rPr>
        <w:t>(Referência as normas técnicas)</w:t>
      </w:r>
    </w:p>
    <w:p>
      <w:pPr>
        <w:spacing w:after="0" w:line="124" w:lineRule="exact"/>
        <w:rPr>
          <w:sz w:val="20"/>
          <w:szCs w:val="20"/>
          <w:color w:val="auto"/>
        </w:rPr>
      </w:pPr>
    </w:p>
    <w:p>
      <w:pPr>
        <w:jc w:val="both"/>
        <w:ind w:right="20" w:firstLine="227"/>
        <w:spacing w:after="0" w:line="263" w:lineRule="auto"/>
        <w:rPr>
          <w:sz w:val="20"/>
          <w:szCs w:val="20"/>
          <w:color w:val="auto"/>
        </w:rPr>
      </w:pPr>
      <w:r>
        <w:rPr>
          <w:rFonts w:ascii="Times New Roman" w:cs="Times New Roman" w:eastAsia="Times New Roman" w:hAnsi="Times New Roman"/>
          <w:sz w:val="18"/>
          <w:szCs w:val="18"/>
          <w:color w:val="auto"/>
        </w:rPr>
        <w:t xml:space="preserve">A referência às normas técnicas é feita pela designação apenas do número e título de uma ou mais normas técnicas determinadas, de modo que as revisões posteriores desta ou destas normas sejam </w:t>
      </w:r>
      <w:r>
        <w:rPr>
          <w:rFonts w:ascii="Arial" w:cs="Arial" w:eastAsia="Arial" w:hAnsi="Arial"/>
          <w:sz w:val="18"/>
          <w:szCs w:val="18"/>
          <w:color w:val="auto"/>
        </w:rPr>
        <w:t>aplicadas sem que seja necessário modificar o Regulamento.</w:t>
      </w:r>
    </w:p>
    <w:p>
      <w:pPr>
        <w:spacing w:after="0" w:line="141"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CAPÍTULO V</w:t>
      </w:r>
    </w:p>
    <w:p>
      <w:pPr>
        <w:spacing w:after="0" w:line="110"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Avaliação da conformidade</w:t>
      </w:r>
    </w:p>
    <w:p>
      <w:pPr>
        <w:spacing w:after="0" w:line="99"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6"/>
          <w:szCs w:val="16"/>
          <w:color w:val="auto"/>
        </w:rPr>
        <w:t>SECÇÃO I</w:t>
      </w:r>
    </w:p>
    <w:p>
      <w:pPr>
        <w:spacing w:after="0" w:line="145" w:lineRule="exact"/>
        <w:rPr>
          <w:sz w:val="20"/>
          <w:szCs w:val="20"/>
          <w:color w:val="auto"/>
        </w:rPr>
      </w:pPr>
    </w:p>
    <w:p>
      <w:pPr>
        <w:jc w:val="center"/>
        <w:ind w:right="20"/>
        <w:spacing w:after="0"/>
        <w:rPr>
          <w:sz w:val="20"/>
          <w:szCs w:val="20"/>
          <w:color w:val="auto"/>
        </w:rPr>
      </w:pPr>
      <w:r>
        <w:rPr>
          <w:rFonts w:ascii="Arial" w:cs="Arial" w:eastAsia="Arial" w:hAnsi="Arial"/>
          <w:sz w:val="16"/>
          <w:szCs w:val="16"/>
          <w:color w:val="auto"/>
        </w:rPr>
        <w:t>Actividades e procedimentos</w:t>
      </w:r>
    </w:p>
    <w:p>
      <w:pPr>
        <w:spacing w:after="0" w:line="61"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14</w:t>
      </w:r>
    </w:p>
    <w:p>
      <w:pPr>
        <w:spacing w:after="0" w:line="129" w:lineRule="exact"/>
        <w:rPr>
          <w:sz w:val="20"/>
          <w:szCs w:val="20"/>
          <w:color w:val="auto"/>
        </w:rPr>
      </w:pPr>
    </w:p>
    <w:p>
      <w:pPr>
        <w:ind w:left="2040"/>
        <w:spacing w:after="0"/>
        <w:rPr>
          <w:sz w:val="20"/>
          <w:szCs w:val="20"/>
          <w:color w:val="auto"/>
        </w:rPr>
      </w:pPr>
      <w:r>
        <w:rPr>
          <w:rFonts w:ascii="Arial" w:cs="Arial" w:eastAsia="Arial" w:hAnsi="Arial"/>
          <w:sz w:val="16"/>
          <w:szCs w:val="16"/>
          <w:b w:val="1"/>
          <w:bCs w:val="1"/>
          <w:color w:val="auto"/>
        </w:rPr>
        <w:t>(Actividades)</w:t>
      </w:r>
    </w:p>
    <w:p>
      <w:pPr>
        <w:spacing w:after="0" w:line="124" w:lineRule="exact"/>
        <w:rPr>
          <w:sz w:val="20"/>
          <w:szCs w:val="20"/>
          <w:color w:val="auto"/>
        </w:rPr>
      </w:pPr>
    </w:p>
    <w:p>
      <w:pPr>
        <w:jc w:val="both"/>
        <w:ind w:right="20" w:firstLine="227"/>
        <w:spacing w:after="0" w:line="229" w:lineRule="auto"/>
        <w:tabs>
          <w:tab w:leader="none" w:pos="451" w:val="left"/>
        </w:tabs>
        <w:numPr>
          <w:ilvl w:val="0"/>
          <w:numId w:val="14"/>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As actividades no âmbito da avaliação da conformidade devem ter em atenção às necessidades nacionais, não serem discriminatórias, serem transparentes e evitar barreiras técnicas desnecessárias ao comércio, baseando-se em normas e regulamentos técnicos.</w:t>
      </w:r>
    </w:p>
    <w:p>
      <w:pPr>
        <w:spacing w:after="0" w:line="2" w:lineRule="exact"/>
        <w:rPr>
          <w:rFonts w:ascii="Times New Roman" w:cs="Times New Roman" w:eastAsia="Times New Roman" w:hAnsi="Times New Roman"/>
          <w:sz w:val="20"/>
          <w:szCs w:val="20"/>
          <w:color w:val="auto"/>
        </w:rPr>
      </w:pPr>
    </w:p>
    <w:p>
      <w:pPr>
        <w:ind w:right="20" w:firstLine="227"/>
        <w:spacing w:after="0" w:line="234" w:lineRule="auto"/>
        <w:tabs>
          <w:tab w:leader="none" w:pos="448" w:val="left"/>
        </w:tabs>
        <w:numPr>
          <w:ilvl w:val="0"/>
          <w:numId w:val="14"/>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As actividades de avaliação da conformidade podem ser realizadas por:</w:t>
      </w:r>
    </w:p>
    <w:p>
      <w:pPr>
        <w:spacing w:after="0" w:line="38"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20"/>
          <w:szCs w:val="20"/>
          <w:i w:val="1"/>
          <w:iCs w:val="1"/>
          <w:color w:val="auto"/>
        </w:rPr>
        <w:t>a</w:t>
      </w:r>
      <w:r>
        <w:rPr>
          <w:rFonts w:ascii="Times New Roman" w:cs="Times New Roman" w:eastAsia="Times New Roman" w:hAnsi="Times New Roman"/>
          <w:sz w:val="20"/>
          <w:szCs w:val="20"/>
          <w:color w:val="auto"/>
        </w:rPr>
        <w:t>) primeira parte: quando é feita pelo fornecedor;</w:t>
      </w:r>
    </w:p>
    <w:p>
      <w:pPr>
        <w:jc w:val="both"/>
        <w:ind w:left="860" w:hanging="396"/>
        <w:spacing w:after="0" w:line="229" w:lineRule="auto"/>
        <w:rPr>
          <w:sz w:val="20"/>
          <w:szCs w:val="20"/>
          <w:color w:val="auto"/>
        </w:rPr>
      </w:pPr>
      <w:r>
        <w:rPr>
          <w:rFonts w:ascii="Times New Roman" w:cs="Times New Roman" w:eastAsia="Times New Roman" w:hAnsi="Times New Roman"/>
          <w:sz w:val="20"/>
          <w:szCs w:val="20"/>
          <w:i w:val="1"/>
          <w:iCs w:val="1"/>
          <w:color w:val="auto"/>
        </w:rPr>
        <w:t>b</w:t>
      </w:r>
      <w:r>
        <w:rPr>
          <w:rFonts w:ascii="Times New Roman" w:cs="Times New Roman" w:eastAsia="Times New Roman" w:hAnsi="Times New Roman"/>
          <w:sz w:val="20"/>
          <w:szCs w:val="20"/>
          <w:color w:val="auto"/>
        </w:rPr>
        <w:t>) segunda parte: quando é feita pelo comprador</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ou consumidor; e</w:t>
      </w:r>
    </w:p>
    <w:p>
      <w:pPr>
        <w:spacing w:after="0" w:line="1" w:lineRule="exact"/>
        <w:rPr>
          <w:sz w:val="20"/>
          <w:szCs w:val="20"/>
          <w:color w:val="auto"/>
        </w:rPr>
      </w:pPr>
    </w:p>
    <w:p>
      <w:pPr>
        <w:jc w:val="both"/>
        <w:ind w:left="860" w:hanging="396"/>
        <w:spacing w:after="0" w:line="232" w:lineRule="auto"/>
        <w:rPr>
          <w:sz w:val="20"/>
          <w:szCs w:val="20"/>
          <w:color w:val="auto"/>
        </w:rPr>
      </w:pPr>
      <w:r>
        <w:rPr>
          <w:rFonts w:ascii="Times New Roman" w:cs="Times New Roman" w:eastAsia="Times New Roman" w:hAnsi="Times New Roman"/>
          <w:sz w:val="20"/>
          <w:szCs w:val="20"/>
          <w:i w:val="1"/>
          <w:iCs w:val="1"/>
          <w:color w:val="auto"/>
        </w:rPr>
        <w:t>c</w:t>
      </w:r>
      <w:r>
        <w:rPr>
          <w:rFonts w:ascii="Times New Roman" w:cs="Times New Roman" w:eastAsia="Times New Roman" w:hAnsi="Times New Roman"/>
          <w:sz w:val="20"/>
          <w:szCs w:val="20"/>
          <w:color w:val="auto"/>
        </w:rPr>
        <w:t>) terceira parte: quando é feita por uma organização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com independência em relação ao fornecedor e ao comprador ou consumidor, que não tem interesse na comercialização do produto.</w:t>
      </w:r>
    </w:p>
    <w:p>
      <w:pPr>
        <w:spacing w:after="0" w:line="47" w:lineRule="exact"/>
        <w:rPr>
          <w:sz w:val="20"/>
          <w:szCs w:val="20"/>
          <w:color w:val="auto"/>
        </w:rPr>
      </w:pPr>
    </w:p>
    <w:p>
      <w:pPr>
        <w:jc w:val="both"/>
        <w:ind w:firstLine="227"/>
        <w:spacing w:after="0" w:line="232" w:lineRule="auto"/>
        <w:tabs>
          <w:tab w:leader="none" w:pos="473" w:val="left"/>
        </w:tabs>
        <w:numPr>
          <w:ilvl w:val="0"/>
          <w:numId w:val="1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O procedimento de avaliação da conformidade é de cumprimento obrigatório pelos fornecedores de produtos, processos e serviços quando estiver relacionado a um regulamento técnico.</w:t>
      </w:r>
    </w:p>
    <w:p>
      <w:pPr>
        <w:spacing w:after="0" w:line="20" w:lineRule="exact"/>
        <w:rPr>
          <w:sz w:val="20"/>
          <w:szCs w:val="20"/>
          <w:color w:val="auto"/>
        </w:rPr>
      </w:pPr>
      <w:r>
        <w:rPr>
          <w:sz w:val="20"/>
          <w:szCs w:val="20"/>
          <w:color w:val="auto"/>
        </w:rPr>
        <w:br w:type="column"/>
      </w:r>
    </w:p>
    <w:p>
      <w:pPr>
        <w:spacing w:after="0" w:line="16" w:lineRule="exact"/>
        <w:rPr>
          <w:sz w:val="20"/>
          <w:szCs w:val="20"/>
          <w:color w:val="auto"/>
        </w:rPr>
      </w:pPr>
    </w:p>
    <w:p>
      <w:pPr>
        <w:jc w:val="both"/>
        <w:ind w:left="3" w:firstLine="224"/>
        <w:spacing w:after="0" w:line="239" w:lineRule="auto"/>
        <w:tabs>
          <w:tab w:leader="none" w:pos="461" w:val="left"/>
        </w:tabs>
        <w:numPr>
          <w:ilvl w:val="0"/>
          <w:numId w:val="1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Quando o procedimento de avaliação da conformidade estiver relacionado a Normas Técnicas Moçambicanas, este tem carácter voluntário.</w:t>
      </w:r>
    </w:p>
    <w:p>
      <w:pPr>
        <w:spacing w:after="0" w:line="2" w:lineRule="exact"/>
        <w:rPr>
          <w:rFonts w:ascii="Times New Roman" w:cs="Times New Roman" w:eastAsia="Times New Roman" w:hAnsi="Times New Roman"/>
          <w:sz w:val="20"/>
          <w:szCs w:val="20"/>
          <w:color w:val="auto"/>
        </w:rPr>
      </w:pPr>
    </w:p>
    <w:p>
      <w:pPr>
        <w:jc w:val="both"/>
        <w:ind w:left="3" w:firstLine="224"/>
        <w:spacing w:after="0" w:line="239" w:lineRule="auto"/>
        <w:tabs>
          <w:tab w:leader="none" w:pos="431" w:val="left"/>
        </w:tabs>
        <w:numPr>
          <w:ilvl w:val="0"/>
          <w:numId w:val="1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Os procedimentos de avaliação da conformidade integram os programas de avaliação da conformidade de produtos de controlo obrigatório.</w:t>
      </w:r>
    </w:p>
    <w:p>
      <w:pPr>
        <w:spacing w:after="0" w:line="2" w:lineRule="exact"/>
        <w:rPr>
          <w:rFonts w:ascii="Times New Roman" w:cs="Times New Roman" w:eastAsia="Times New Roman" w:hAnsi="Times New Roman"/>
          <w:sz w:val="20"/>
          <w:szCs w:val="20"/>
          <w:color w:val="auto"/>
        </w:rPr>
      </w:pPr>
    </w:p>
    <w:p>
      <w:pPr>
        <w:jc w:val="both"/>
        <w:ind w:left="3" w:firstLine="224"/>
        <w:spacing w:after="0" w:line="239" w:lineRule="auto"/>
        <w:tabs>
          <w:tab w:leader="none" w:pos="474" w:val="left"/>
        </w:tabs>
        <w:numPr>
          <w:ilvl w:val="0"/>
          <w:numId w:val="1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As Actividades de Avaliação da Conformidade para produtos nacionais, são realizadas por entidades públicas com </w:t>
      </w:r>
      <w:r>
        <w:rPr>
          <w:rFonts w:ascii="Arial" w:cs="Arial" w:eastAsia="Arial" w:hAnsi="Arial"/>
          <w:sz w:val="20"/>
          <w:szCs w:val="20"/>
          <w:color w:val="auto"/>
        </w:rPr>
        <w:t>competências definidas em legislação específica.</w:t>
      </w:r>
    </w:p>
    <w:p>
      <w:pPr>
        <w:spacing w:after="0" w:line="172"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15</w:t>
      </w:r>
    </w:p>
    <w:p>
      <w:pPr>
        <w:spacing w:after="0" w:line="129" w:lineRule="exact"/>
        <w:rPr>
          <w:sz w:val="20"/>
          <w:szCs w:val="20"/>
          <w:color w:val="auto"/>
        </w:rPr>
      </w:pPr>
    </w:p>
    <w:p>
      <w:pPr>
        <w:ind w:left="743"/>
        <w:spacing w:after="0"/>
        <w:rPr>
          <w:sz w:val="20"/>
          <w:szCs w:val="20"/>
          <w:color w:val="auto"/>
        </w:rPr>
      </w:pPr>
      <w:r>
        <w:rPr>
          <w:rFonts w:ascii="Arial" w:cs="Arial" w:eastAsia="Arial" w:hAnsi="Arial"/>
          <w:sz w:val="16"/>
          <w:szCs w:val="16"/>
          <w:b w:val="1"/>
          <w:bCs w:val="1"/>
          <w:color w:val="auto"/>
        </w:rPr>
        <w:t>(Procedimentos de avaliação da conformidade)</w:t>
      </w:r>
    </w:p>
    <w:p>
      <w:pPr>
        <w:spacing w:after="0" w:line="134" w:lineRule="exact"/>
        <w:rPr>
          <w:sz w:val="20"/>
          <w:szCs w:val="20"/>
          <w:color w:val="auto"/>
        </w:rPr>
      </w:pPr>
    </w:p>
    <w:p>
      <w:pPr>
        <w:jc w:val="both"/>
        <w:ind w:left="3" w:firstLine="224"/>
        <w:spacing w:after="0" w:line="252" w:lineRule="auto"/>
        <w:tabs>
          <w:tab w:leader="none" w:pos="417" w:val="left"/>
        </w:tabs>
        <w:numPr>
          <w:ilvl w:val="0"/>
          <w:numId w:val="17"/>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color w:val="auto"/>
        </w:rPr>
        <w:t xml:space="preserve">Nos procedimentos de avaliação da conformidade baseados em normas e regulamentos técnicos, a atribuição de licenças, </w:t>
      </w:r>
      <w:r>
        <w:rPr>
          <w:rFonts w:ascii="Arial" w:cs="Arial" w:eastAsia="Arial" w:hAnsi="Arial"/>
          <w:sz w:val="19"/>
          <w:szCs w:val="19"/>
          <w:color w:val="auto"/>
        </w:rPr>
        <w:t xml:space="preserve">certificados e marcas deve ser estabelecida de acordo com as </w:t>
      </w:r>
      <w:r>
        <w:rPr>
          <w:rFonts w:ascii="Times New Roman" w:cs="Times New Roman" w:eastAsia="Times New Roman" w:hAnsi="Times New Roman"/>
          <w:sz w:val="19"/>
          <w:szCs w:val="19"/>
          <w:color w:val="auto"/>
        </w:rPr>
        <w:t>características do produto, processo ou serviço a ser avaliado.</w:t>
      </w:r>
    </w:p>
    <w:p>
      <w:pPr>
        <w:jc w:val="both"/>
        <w:ind w:left="3" w:firstLine="224"/>
        <w:spacing w:after="0" w:line="239" w:lineRule="auto"/>
        <w:tabs>
          <w:tab w:leader="none" w:pos="411" w:val="left"/>
        </w:tabs>
        <w:numPr>
          <w:ilvl w:val="0"/>
          <w:numId w:val="1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É obrigação dos fornecedores sujeitarem as suas mercadorias aos mecanismos de avaliação da conformidade previstos nos procedimentos de avaliação da conformidade.</w:t>
      </w:r>
    </w:p>
    <w:p>
      <w:pPr>
        <w:spacing w:after="0" w:line="2" w:lineRule="exact"/>
        <w:rPr>
          <w:rFonts w:ascii="Times New Roman" w:cs="Times New Roman" w:eastAsia="Times New Roman" w:hAnsi="Times New Roman"/>
          <w:sz w:val="20"/>
          <w:szCs w:val="20"/>
          <w:color w:val="auto"/>
        </w:rPr>
      </w:pPr>
    </w:p>
    <w:p>
      <w:pPr>
        <w:ind w:left="3" w:firstLine="224"/>
        <w:spacing w:after="0" w:line="239" w:lineRule="auto"/>
        <w:tabs>
          <w:tab w:leader="none" w:pos="440" w:val="left"/>
        </w:tabs>
        <w:numPr>
          <w:ilvl w:val="0"/>
          <w:numId w:val="1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Nos procedimentos de avaliação da conformidade podem ser utilizados os seguintes mecanismos:</w:t>
      </w:r>
    </w:p>
    <w:p>
      <w:pPr>
        <w:spacing w:after="0" w:line="59" w:lineRule="exact"/>
        <w:rPr>
          <w:sz w:val="20"/>
          <w:szCs w:val="20"/>
          <w:color w:val="auto"/>
        </w:rPr>
      </w:pPr>
    </w:p>
    <w:p>
      <w:pPr>
        <w:ind w:left="463" w:right="900"/>
        <w:spacing w:after="0" w:line="239" w:lineRule="auto"/>
        <w:rPr>
          <w:sz w:val="20"/>
          <w:szCs w:val="20"/>
          <w:color w:val="auto"/>
        </w:rPr>
      </w:pPr>
      <w:r>
        <w:rPr>
          <w:rFonts w:ascii="Times New Roman" w:cs="Times New Roman" w:eastAsia="Times New Roman" w:hAnsi="Times New Roman"/>
          <w:sz w:val="20"/>
          <w:szCs w:val="20"/>
          <w:i w:val="1"/>
          <w:iCs w:val="1"/>
          <w:color w:val="auto"/>
        </w:rPr>
        <w:t>a</w:t>
      </w:r>
      <w:r>
        <w:rPr>
          <w:rFonts w:ascii="Times New Roman" w:cs="Times New Roman" w:eastAsia="Times New Roman" w:hAnsi="Times New Roman"/>
          <w:sz w:val="20"/>
          <w:szCs w:val="20"/>
          <w:color w:val="auto"/>
        </w:rPr>
        <w:t>) Declaração da conformidade do fornecedor;</w:t>
      </w:r>
      <w:r>
        <w:rPr>
          <w:rFonts w:ascii="Times New Roman" w:cs="Times New Roman" w:eastAsia="Times New Roman" w:hAnsi="Times New Roman"/>
          <w:sz w:val="20"/>
          <w:szCs w:val="20"/>
          <w:i w:val="1"/>
          <w:iCs w:val="1"/>
          <w:color w:val="auto"/>
        </w:rPr>
        <w:t xml:space="preserve"> b</w:t>
      </w:r>
      <w:r>
        <w:rPr>
          <w:rFonts w:ascii="Arial" w:cs="Arial" w:eastAsia="Arial" w:hAnsi="Arial"/>
          <w:sz w:val="20"/>
          <w:szCs w:val="20"/>
          <w:color w:val="auto"/>
        </w:rPr>
        <w:t>) Certificação;</w:t>
      </w:r>
    </w:p>
    <w:p>
      <w:pPr>
        <w:spacing w:after="0" w:line="1" w:lineRule="exact"/>
        <w:rPr>
          <w:sz w:val="20"/>
          <w:szCs w:val="20"/>
          <w:color w:val="auto"/>
        </w:rPr>
      </w:pPr>
    </w:p>
    <w:p>
      <w:pPr>
        <w:ind w:left="463"/>
        <w:spacing w:after="0"/>
        <w:rPr>
          <w:sz w:val="20"/>
          <w:szCs w:val="20"/>
          <w:color w:val="auto"/>
        </w:rPr>
      </w:pPr>
      <w:r>
        <w:rPr>
          <w:rFonts w:ascii="Times New Roman" w:cs="Times New Roman" w:eastAsia="Times New Roman" w:hAnsi="Times New Roman"/>
          <w:sz w:val="20"/>
          <w:szCs w:val="20"/>
          <w:i w:val="1"/>
          <w:iCs w:val="1"/>
          <w:color w:val="auto"/>
        </w:rPr>
        <w:t>c</w:t>
      </w:r>
      <w:r>
        <w:rPr>
          <w:rFonts w:ascii="Times New Roman" w:cs="Times New Roman" w:eastAsia="Times New Roman" w:hAnsi="Times New Roman"/>
          <w:sz w:val="20"/>
          <w:szCs w:val="20"/>
          <w:color w:val="auto"/>
        </w:rPr>
        <w:t>) Inspecção;</w:t>
      </w:r>
    </w:p>
    <w:p>
      <w:pPr>
        <w:ind w:left="463"/>
        <w:spacing w:after="0"/>
        <w:rPr>
          <w:sz w:val="20"/>
          <w:szCs w:val="20"/>
          <w:color w:val="auto"/>
        </w:rPr>
      </w:pPr>
      <w:r>
        <w:rPr>
          <w:rFonts w:ascii="Times New Roman" w:cs="Times New Roman" w:eastAsia="Times New Roman" w:hAnsi="Times New Roman"/>
          <w:sz w:val="20"/>
          <w:szCs w:val="20"/>
          <w:i w:val="1"/>
          <w:iCs w:val="1"/>
          <w:color w:val="auto"/>
        </w:rPr>
        <w:t>d</w:t>
      </w:r>
      <w:r>
        <w:rPr>
          <w:rFonts w:ascii="Times New Roman" w:cs="Times New Roman" w:eastAsia="Times New Roman" w:hAnsi="Times New Roman"/>
          <w:sz w:val="20"/>
          <w:szCs w:val="20"/>
          <w:color w:val="auto"/>
        </w:rPr>
        <w:t>) Etiquetagem; e</w:t>
      </w:r>
    </w:p>
    <w:p>
      <w:pPr>
        <w:ind w:left="463"/>
        <w:spacing w:after="0"/>
        <w:rPr>
          <w:sz w:val="20"/>
          <w:szCs w:val="20"/>
          <w:color w:val="auto"/>
        </w:rPr>
      </w:pPr>
      <w:r>
        <w:rPr>
          <w:rFonts w:ascii="Times New Roman" w:cs="Times New Roman" w:eastAsia="Times New Roman" w:hAnsi="Times New Roman"/>
          <w:sz w:val="20"/>
          <w:szCs w:val="20"/>
          <w:i w:val="1"/>
          <w:iCs w:val="1"/>
          <w:color w:val="auto"/>
        </w:rPr>
        <w:t>e</w:t>
      </w:r>
      <w:r>
        <w:rPr>
          <w:rFonts w:ascii="Times New Roman" w:cs="Times New Roman" w:eastAsia="Times New Roman" w:hAnsi="Times New Roman"/>
          <w:sz w:val="20"/>
          <w:szCs w:val="20"/>
          <w:color w:val="auto"/>
        </w:rPr>
        <w:t>) Ensaio.</w:t>
      </w:r>
    </w:p>
    <w:p>
      <w:pPr>
        <w:spacing w:after="0" w:line="57" w:lineRule="exact"/>
        <w:rPr>
          <w:sz w:val="20"/>
          <w:szCs w:val="20"/>
          <w:color w:val="auto"/>
        </w:rPr>
      </w:pPr>
    </w:p>
    <w:p>
      <w:pPr>
        <w:ind w:left="3" w:firstLine="224"/>
        <w:spacing w:after="0" w:line="239" w:lineRule="auto"/>
        <w:tabs>
          <w:tab w:leader="none" w:pos="471" w:val="left"/>
        </w:tabs>
        <w:numPr>
          <w:ilvl w:val="0"/>
          <w:numId w:val="1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Os procedimentos de avaliação da conformidade são descritos em Língua Portuguesa.</w:t>
      </w:r>
    </w:p>
    <w:p>
      <w:pPr>
        <w:spacing w:after="0" w:line="1" w:lineRule="exact"/>
        <w:rPr>
          <w:rFonts w:ascii="Times New Roman" w:cs="Times New Roman" w:eastAsia="Times New Roman" w:hAnsi="Times New Roman"/>
          <w:sz w:val="20"/>
          <w:szCs w:val="20"/>
          <w:color w:val="auto"/>
        </w:rPr>
      </w:pPr>
    </w:p>
    <w:p>
      <w:pPr>
        <w:jc w:val="both"/>
        <w:ind w:left="3" w:firstLine="224"/>
        <w:spacing w:after="0" w:line="266" w:lineRule="auto"/>
        <w:tabs>
          <w:tab w:leader="none" w:pos="441"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Os procedimentos de avaliação da conformidade, quando obrigatórios, devem ser estabelecidos pela entidade com </w:t>
      </w:r>
      <w:r>
        <w:rPr>
          <w:rFonts w:ascii="Arial" w:cs="Arial" w:eastAsia="Arial" w:hAnsi="Arial"/>
          <w:sz w:val="18"/>
          <w:szCs w:val="18"/>
          <w:color w:val="auto"/>
        </w:rPr>
        <w:t xml:space="preserve">competência regulamentar em parceria com o INNOQ, IP, a fim de </w:t>
      </w:r>
      <w:r>
        <w:rPr>
          <w:rFonts w:ascii="Times New Roman" w:cs="Times New Roman" w:eastAsia="Times New Roman" w:hAnsi="Times New Roman"/>
          <w:sz w:val="18"/>
          <w:szCs w:val="18"/>
          <w:color w:val="auto"/>
        </w:rPr>
        <w:t>ser concedido o direito de uso da marca nacional da conformidade.</w:t>
      </w:r>
    </w:p>
    <w:p>
      <w:pPr>
        <w:ind w:left="3" w:firstLine="224"/>
        <w:spacing w:after="0" w:line="239" w:lineRule="auto"/>
        <w:tabs>
          <w:tab w:leader="none" w:pos="441" w:val="left"/>
        </w:tabs>
        <w:numPr>
          <w:ilvl w:val="0"/>
          <w:numId w:val="1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Os procedimentos de avaliação da conformidade, quando voluntários, devem ser estabelecidos pelo INNOQ, IP.</w:t>
      </w:r>
    </w:p>
    <w:p>
      <w:pPr>
        <w:spacing w:after="0" w:line="208"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16"/>
          <w:szCs w:val="16"/>
          <w:color w:val="auto"/>
        </w:rPr>
        <w:t>SECÇÃO II</w:t>
      </w:r>
    </w:p>
    <w:p>
      <w:pPr>
        <w:spacing w:after="0" w:line="155" w:lineRule="exact"/>
        <w:rPr>
          <w:sz w:val="20"/>
          <w:szCs w:val="20"/>
          <w:color w:val="auto"/>
        </w:rPr>
      </w:pPr>
    </w:p>
    <w:p>
      <w:pPr>
        <w:jc w:val="center"/>
        <w:ind w:right="-2"/>
        <w:spacing w:after="0"/>
        <w:rPr>
          <w:sz w:val="20"/>
          <w:szCs w:val="20"/>
          <w:color w:val="auto"/>
        </w:rPr>
      </w:pPr>
      <w:r>
        <w:rPr>
          <w:rFonts w:ascii="Arial" w:cs="Arial" w:eastAsia="Arial" w:hAnsi="Arial"/>
          <w:sz w:val="16"/>
          <w:szCs w:val="16"/>
          <w:color w:val="auto"/>
        </w:rPr>
        <w:t>Programas de avaliação da conformidade</w:t>
      </w:r>
    </w:p>
    <w:p>
      <w:pPr>
        <w:spacing w:after="0" w:line="72" w:lineRule="exact"/>
        <w:rPr>
          <w:sz w:val="20"/>
          <w:szCs w:val="20"/>
          <w:color w:val="auto"/>
        </w:rPr>
      </w:pPr>
    </w:p>
    <w:p>
      <w:pPr>
        <w:jc w:val="center"/>
        <w:ind w:right="-2"/>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16</w:t>
      </w:r>
    </w:p>
    <w:p>
      <w:pPr>
        <w:spacing w:after="0" w:line="129" w:lineRule="exact"/>
        <w:rPr>
          <w:sz w:val="20"/>
          <w:szCs w:val="20"/>
          <w:color w:val="auto"/>
        </w:rPr>
      </w:pPr>
    </w:p>
    <w:p>
      <w:pPr>
        <w:ind w:left="903"/>
        <w:spacing w:after="0"/>
        <w:rPr>
          <w:sz w:val="20"/>
          <w:szCs w:val="20"/>
          <w:color w:val="auto"/>
        </w:rPr>
      </w:pPr>
      <w:r>
        <w:rPr>
          <w:rFonts w:ascii="Arial" w:cs="Arial" w:eastAsia="Arial" w:hAnsi="Arial"/>
          <w:sz w:val="16"/>
          <w:szCs w:val="16"/>
          <w:b w:val="1"/>
          <w:bCs w:val="1"/>
          <w:color w:val="auto"/>
        </w:rPr>
        <w:t>(Programas de avaliação da conformidade)</w:t>
      </w:r>
    </w:p>
    <w:p>
      <w:pPr>
        <w:spacing w:after="0" w:line="134" w:lineRule="exact"/>
        <w:rPr>
          <w:sz w:val="20"/>
          <w:szCs w:val="20"/>
          <w:color w:val="auto"/>
        </w:rPr>
      </w:pPr>
    </w:p>
    <w:p>
      <w:pPr>
        <w:jc w:val="both"/>
        <w:ind w:left="3" w:firstLine="224"/>
        <w:spacing w:after="0" w:line="252" w:lineRule="auto"/>
        <w:tabs>
          <w:tab w:leader="none" w:pos="455" w:val="left"/>
        </w:tabs>
        <w:numPr>
          <w:ilvl w:val="1"/>
          <w:numId w:val="19"/>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color w:val="auto"/>
        </w:rPr>
        <w:t>São sujeitos ao programa de avaliação da conformidade todos os produtos importados cuja avaliação da conformidade é de carácter obrigatório, conforme a lista de produtos de controlo obrigatório, em anexo ao presente regulamento, estando sujeita</w:t>
      </w:r>
    </w:p>
    <w:p>
      <w:pPr>
        <w:spacing w:after="0" w:line="2" w:lineRule="exact"/>
        <w:rPr>
          <w:rFonts w:ascii="Times New Roman" w:cs="Times New Roman" w:eastAsia="Times New Roman" w:hAnsi="Times New Roman"/>
          <w:sz w:val="19"/>
          <w:szCs w:val="19"/>
          <w:color w:val="auto"/>
        </w:rPr>
      </w:pPr>
    </w:p>
    <w:p>
      <w:pPr>
        <w:ind w:left="3" w:hanging="3"/>
        <w:spacing w:after="0" w:line="239" w:lineRule="auto"/>
        <w:tabs>
          <w:tab w:leader="none" w:pos="138" w:val="left"/>
        </w:tabs>
        <w:numPr>
          <w:ilvl w:val="0"/>
          <w:numId w:val="19"/>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actualização, sempre que motivos de saúde pública, segurança e ambiente, assim o determinarem.</w:t>
      </w:r>
    </w:p>
    <w:p>
      <w:pPr>
        <w:spacing w:after="0" w:line="1" w:lineRule="exact"/>
        <w:rPr>
          <w:rFonts w:ascii="Times New Roman" w:cs="Times New Roman" w:eastAsia="Times New Roman" w:hAnsi="Times New Roman"/>
          <w:sz w:val="20"/>
          <w:szCs w:val="20"/>
          <w:color w:val="auto"/>
        </w:rPr>
      </w:pPr>
    </w:p>
    <w:p>
      <w:pPr>
        <w:jc w:val="both"/>
        <w:ind w:left="3" w:firstLine="224"/>
        <w:spacing w:after="0" w:line="266" w:lineRule="auto"/>
        <w:tabs>
          <w:tab w:leader="none" w:pos="431" w:val="left"/>
        </w:tabs>
        <w:numPr>
          <w:ilvl w:val="1"/>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Todo o produto abrangido pelo Programa de Avaliação da Conformidade deve ser avaliado e aprovado com base nas Normas Técnicas Moçambicanas sobre a qualidade, regulamentos técnicos </w:t>
      </w:r>
      <w:r>
        <w:rPr>
          <w:rFonts w:ascii="Arial" w:cs="Arial" w:eastAsia="Arial" w:hAnsi="Arial"/>
          <w:sz w:val="18"/>
          <w:szCs w:val="18"/>
          <w:color w:val="auto"/>
        </w:rPr>
        <w:t>ou outras especificações técnicas adoptadas pelo INNOQ, IP.</w:t>
      </w:r>
    </w:p>
    <w:p>
      <w:pPr>
        <w:spacing w:after="0" w:line="1" w:lineRule="exact"/>
        <w:rPr>
          <w:rFonts w:ascii="Times New Roman" w:cs="Times New Roman" w:eastAsia="Times New Roman" w:hAnsi="Times New Roman"/>
          <w:sz w:val="18"/>
          <w:szCs w:val="18"/>
          <w:color w:val="auto"/>
        </w:rPr>
      </w:pPr>
    </w:p>
    <w:p>
      <w:pPr>
        <w:jc w:val="both"/>
        <w:ind w:left="3" w:firstLine="224"/>
        <w:spacing w:after="0" w:line="239" w:lineRule="auto"/>
        <w:tabs>
          <w:tab w:leader="none" w:pos="455" w:val="left"/>
        </w:tabs>
        <w:numPr>
          <w:ilvl w:val="1"/>
          <w:numId w:val="20"/>
        </w:numPr>
        <w:rPr>
          <w:rFonts w:ascii="Arial" w:cs="Arial" w:eastAsia="Arial" w:hAnsi="Arial"/>
          <w:sz w:val="20"/>
          <w:szCs w:val="20"/>
          <w:color w:val="auto"/>
        </w:rPr>
      </w:pPr>
      <w:r>
        <w:rPr>
          <w:rFonts w:ascii="Arial" w:cs="Arial" w:eastAsia="Arial" w:hAnsi="Arial"/>
          <w:sz w:val="20"/>
          <w:szCs w:val="20"/>
          <w:color w:val="auto"/>
        </w:rPr>
        <w:t xml:space="preserve">As especificações técnicas aplicáveis para os Programas </w:t>
      </w:r>
      <w:r>
        <w:rPr>
          <w:rFonts w:ascii="Times New Roman" w:cs="Times New Roman" w:eastAsia="Times New Roman" w:hAnsi="Times New Roman"/>
          <w:sz w:val="20"/>
          <w:szCs w:val="20"/>
          <w:color w:val="auto"/>
        </w:rPr>
        <w:t>de Avaliação da Conformidade dos produtos de controlo obrigatório são publicadas e disponibilizadas pelo INNOQ, IP, e pelas entidades inter-relacionadas.</w:t>
      </w:r>
    </w:p>
    <w:p>
      <w:pPr>
        <w:spacing w:after="0" w:line="3" w:lineRule="exact"/>
        <w:rPr>
          <w:rFonts w:ascii="Arial" w:cs="Arial" w:eastAsia="Arial" w:hAnsi="Arial"/>
          <w:sz w:val="20"/>
          <w:szCs w:val="20"/>
          <w:color w:val="auto"/>
        </w:rPr>
      </w:pPr>
    </w:p>
    <w:p>
      <w:pPr>
        <w:jc w:val="both"/>
        <w:ind w:left="3" w:firstLine="224"/>
        <w:spacing w:after="0" w:line="266" w:lineRule="auto"/>
        <w:tabs>
          <w:tab w:leader="none" w:pos="422" w:val="left"/>
        </w:tabs>
        <w:numPr>
          <w:ilvl w:val="1"/>
          <w:numId w:val="20"/>
        </w:numPr>
        <w:rPr>
          <w:rFonts w:ascii="Arial" w:cs="Arial" w:eastAsia="Arial" w:hAnsi="Arial"/>
          <w:sz w:val="18"/>
          <w:szCs w:val="18"/>
          <w:color w:val="auto"/>
        </w:rPr>
      </w:pPr>
      <w:r>
        <w:rPr>
          <w:rFonts w:ascii="Arial" w:cs="Arial" w:eastAsia="Arial" w:hAnsi="Arial"/>
          <w:sz w:val="18"/>
          <w:szCs w:val="18"/>
          <w:color w:val="auto"/>
        </w:rPr>
        <w:t xml:space="preserve">A conformidade do produto com as especificações técnicas </w:t>
      </w:r>
      <w:r>
        <w:rPr>
          <w:rFonts w:ascii="Times New Roman" w:cs="Times New Roman" w:eastAsia="Times New Roman" w:hAnsi="Times New Roman"/>
          <w:sz w:val="18"/>
          <w:szCs w:val="18"/>
          <w:color w:val="auto"/>
        </w:rPr>
        <w:t xml:space="preserve">preconizadas no presente artigo é evidenciada por ostentação da marca da conformidade no seu rótulo ou embalagem, ou </w:t>
      </w:r>
      <w:r>
        <w:rPr>
          <w:rFonts w:ascii="Arial" w:cs="Arial" w:eastAsia="Arial" w:hAnsi="Arial"/>
          <w:sz w:val="18"/>
          <w:szCs w:val="18"/>
          <w:color w:val="auto"/>
        </w:rPr>
        <w:t xml:space="preserve">ainda mediante certificado da conformidade emitido por uma </w:t>
      </w:r>
      <w:r>
        <w:rPr>
          <w:rFonts w:ascii="Times New Roman" w:cs="Times New Roman" w:eastAsia="Times New Roman" w:hAnsi="Times New Roman"/>
          <w:sz w:val="18"/>
          <w:szCs w:val="18"/>
          <w:color w:val="auto"/>
        </w:rPr>
        <w:t>entidade selecionada pelo INNOQ, IP, que deve ser apresentado às Autoridades Alfandegárias no acto da entrada no País.</w:t>
      </w:r>
    </w:p>
    <w:p>
      <w:pPr>
        <w:jc w:val="both"/>
        <w:ind w:left="3" w:firstLine="224"/>
        <w:spacing w:after="0" w:line="239" w:lineRule="auto"/>
        <w:tabs>
          <w:tab w:leader="none" w:pos="457" w:val="left"/>
        </w:tabs>
        <w:numPr>
          <w:ilvl w:val="1"/>
          <w:numId w:val="20"/>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 lista de produtos de controlo obrigatório, está sujeita a actualizações periódicas em função da análise do risco que cada produto representa para a saúde pública, ao ambiente</w:t>
      </w:r>
    </w:p>
    <w:p>
      <w:pPr>
        <w:sectPr>
          <w:pgSz w:w="11900" w:h="16838" w:orient="portrait"/>
          <w:cols w:equalWidth="0" w:num="2">
            <w:col w:w="5100" w:space="357"/>
            <w:col w:w="5083"/>
          </w:cols>
          <w:pgMar w:left="680" w:top="803" w:right="686" w:bottom="87" w:gutter="0" w:footer="0" w:header="0"/>
          <w:type w:val="continuous"/>
        </w:sectPr>
      </w:pPr>
    </w:p>
    <w:bookmarkStart w:id="3" w:name="page4"/>
    <w:bookmarkEnd w:id="3"/>
    <w:p>
      <w:pPr>
        <w:spacing w:after="0"/>
        <w:tabs>
          <w:tab w:leader="none" w:pos="8440" w:val="left"/>
        </w:tabs>
        <w:rPr>
          <w:sz w:val="20"/>
          <w:szCs w:val="20"/>
          <w:color w:val="auto"/>
        </w:rPr>
      </w:pPr>
      <w:r>
        <w:rPr>
          <w:rFonts w:ascii="Times New Roman" w:cs="Times New Roman" w:eastAsia="Times New Roman" w:hAnsi="Times New Roman"/>
          <w:sz w:val="20"/>
          <w:szCs w:val="20"/>
          <w:color w:val="auto"/>
        </w:rPr>
        <w:t>348</w:t>
      </w:r>
      <w:r>
        <w:rPr>
          <w:sz w:val="20"/>
          <w:szCs w:val="20"/>
          <w:color w:val="auto"/>
        </w:rPr>
        <w:tab/>
      </w:r>
      <w:r>
        <w:rPr>
          <w:rFonts w:ascii="Times New Roman" w:cs="Times New Roman" w:eastAsia="Times New Roman" w:hAnsi="Times New Roman"/>
          <w:sz w:val="20"/>
          <w:szCs w:val="20"/>
          <w:i w:val="1"/>
          <w:iCs w:val="1"/>
          <w:color w:val="auto"/>
        </w:rPr>
        <w:t>I SÉRIE — NÚMERO 50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36830</wp:posOffset>
                </wp:positionV>
                <wp:extent cx="667575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7575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9pt" to="525.65pt,2.9pt" o:allowincell="f" strokecolor="#000000" strokeweight="0.5pt"/>
            </w:pict>
          </mc:Fallback>
        </mc:AlternateContent>
      </w:r>
    </w:p>
    <w:p>
      <w:pPr>
        <w:sectPr>
          <w:pgSz w:w="11900" w:h="16838" w:orient="portrait"/>
          <w:cols w:equalWidth="0" w:num="1">
            <w:col w:w="10540"/>
          </w:cols>
          <w:pgMar w:left="680" w:top="801" w:right="686" w:bottom="63" w:gutter="0" w:footer="0" w:header="0"/>
        </w:sectPr>
      </w:pPr>
    </w:p>
    <w:p>
      <w:pPr>
        <w:spacing w:after="0" w:line="289" w:lineRule="exact"/>
        <w:rPr>
          <w:sz w:val="20"/>
          <w:szCs w:val="20"/>
          <w:color w:val="auto"/>
        </w:rPr>
      </w:pPr>
    </w:p>
    <w:p>
      <w:pPr>
        <w:jc w:val="both"/>
        <w:spacing w:after="0" w:line="236" w:lineRule="auto"/>
        <w:rPr>
          <w:sz w:val="20"/>
          <w:szCs w:val="20"/>
          <w:color w:val="auto"/>
        </w:rPr>
      </w:pPr>
      <w:r>
        <w:rPr>
          <w:rFonts w:ascii="Times New Roman" w:cs="Times New Roman" w:eastAsia="Times New Roman" w:hAnsi="Times New Roman"/>
          <w:sz w:val="20"/>
          <w:szCs w:val="20"/>
          <w:color w:val="auto"/>
        </w:rPr>
        <w:t xml:space="preserve">e a segurança, devendo ser aprovada por Diploma Ministerial, pelo Ministro que superintende a área da Indústria e Comércio e publicada na I Série do </w:t>
      </w:r>
      <w:r>
        <w:rPr>
          <w:rFonts w:ascii="Times New Roman" w:cs="Times New Roman" w:eastAsia="Times New Roman" w:hAnsi="Times New Roman"/>
          <w:sz w:val="20"/>
          <w:szCs w:val="20"/>
          <w:i w:val="1"/>
          <w:iCs w:val="1"/>
          <w:color w:val="auto"/>
        </w:rPr>
        <w:t>Boletim da República</w:t>
      </w:r>
      <w:r>
        <w:rPr>
          <w:rFonts w:ascii="Times New Roman" w:cs="Times New Roman" w:eastAsia="Times New Roman" w:hAnsi="Times New Roman"/>
          <w:sz w:val="20"/>
          <w:szCs w:val="20"/>
          <w:color w:val="auto"/>
        </w:rPr>
        <w:t>.</w:t>
      </w:r>
    </w:p>
    <w:p>
      <w:pPr>
        <w:spacing w:after="0" w:line="2" w:lineRule="exact"/>
        <w:rPr>
          <w:sz w:val="20"/>
          <w:szCs w:val="20"/>
          <w:color w:val="auto"/>
        </w:rPr>
      </w:pPr>
    </w:p>
    <w:p>
      <w:pPr>
        <w:jc w:val="both"/>
        <w:ind w:firstLine="227"/>
        <w:spacing w:after="0" w:line="232" w:lineRule="auto"/>
        <w:tabs>
          <w:tab w:leader="none" w:pos="411" w:val="left"/>
        </w:tabs>
        <w:numPr>
          <w:ilvl w:val="0"/>
          <w:numId w:val="21"/>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Os produtos abrangidos pelo presente Regulamento, quando importados, podem ser sujeitos a inspecção no acto de entrada no país.</w:t>
      </w:r>
    </w:p>
    <w:p>
      <w:pPr>
        <w:spacing w:after="0" w:line="10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17</w:t>
      </w:r>
    </w:p>
    <w:p>
      <w:pPr>
        <w:spacing w:after="0" w:line="129" w:lineRule="exact"/>
        <w:rPr>
          <w:sz w:val="20"/>
          <w:szCs w:val="20"/>
          <w:color w:val="auto"/>
        </w:rPr>
      </w:pPr>
    </w:p>
    <w:p>
      <w:pPr>
        <w:jc w:val="center"/>
        <w:ind w:left="40"/>
        <w:spacing w:after="0"/>
        <w:rPr>
          <w:sz w:val="20"/>
          <w:szCs w:val="20"/>
          <w:color w:val="auto"/>
        </w:rPr>
      </w:pPr>
      <w:r>
        <w:rPr>
          <w:rFonts w:ascii="Arial" w:cs="Arial" w:eastAsia="Arial" w:hAnsi="Arial"/>
          <w:sz w:val="16"/>
          <w:szCs w:val="16"/>
          <w:b w:val="1"/>
          <w:bCs w:val="1"/>
          <w:color w:val="auto"/>
        </w:rPr>
        <w:t>(Procedimentos de avaliação da conformidade</w:t>
      </w:r>
    </w:p>
    <w:p>
      <w:pPr>
        <w:spacing w:after="0" w:line="36"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de produtos importados)</w:t>
      </w:r>
    </w:p>
    <w:p>
      <w:pPr>
        <w:spacing w:after="0" w:line="124" w:lineRule="exact"/>
        <w:rPr>
          <w:sz w:val="20"/>
          <w:szCs w:val="20"/>
          <w:color w:val="auto"/>
        </w:rPr>
      </w:pPr>
    </w:p>
    <w:p>
      <w:pPr>
        <w:jc w:val="both"/>
        <w:ind w:firstLine="227"/>
        <w:spacing w:after="0" w:line="232" w:lineRule="auto"/>
        <w:rPr>
          <w:sz w:val="20"/>
          <w:szCs w:val="20"/>
          <w:color w:val="auto"/>
        </w:rPr>
      </w:pPr>
      <w:r>
        <w:rPr>
          <w:rFonts w:ascii="Times New Roman" w:cs="Times New Roman" w:eastAsia="Times New Roman" w:hAnsi="Times New Roman"/>
          <w:sz w:val="20"/>
          <w:szCs w:val="20"/>
          <w:color w:val="auto"/>
        </w:rPr>
        <w:t>Os procedimentos no âmbito dos programas de avaliação da conformidade são descritos e aprovados pelo INNOQ, IP, e abrangem as seguintes actividades:</w:t>
      </w:r>
    </w:p>
    <w:p>
      <w:pPr>
        <w:spacing w:after="0" w:line="40"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20"/>
          <w:szCs w:val="20"/>
          <w:i w:val="1"/>
          <w:iCs w:val="1"/>
          <w:color w:val="auto"/>
        </w:rPr>
        <w:t>a</w:t>
      </w:r>
      <w:r>
        <w:rPr>
          <w:rFonts w:ascii="Times New Roman" w:cs="Times New Roman" w:eastAsia="Times New Roman" w:hAnsi="Times New Roman"/>
          <w:sz w:val="20"/>
          <w:szCs w:val="20"/>
          <w:color w:val="auto"/>
        </w:rPr>
        <w:t>) a inspecção física antes do embarque;</w:t>
      </w:r>
    </w:p>
    <w:p>
      <w:pPr>
        <w:jc w:val="both"/>
        <w:ind w:left="860" w:hanging="396"/>
        <w:spacing w:after="0" w:line="229" w:lineRule="auto"/>
        <w:rPr>
          <w:sz w:val="20"/>
          <w:szCs w:val="20"/>
          <w:color w:val="auto"/>
        </w:rPr>
      </w:pPr>
      <w:r>
        <w:rPr>
          <w:rFonts w:ascii="Times New Roman" w:cs="Times New Roman" w:eastAsia="Times New Roman" w:hAnsi="Times New Roman"/>
          <w:sz w:val="20"/>
          <w:szCs w:val="20"/>
          <w:i w:val="1"/>
          <w:iCs w:val="1"/>
          <w:color w:val="auto"/>
        </w:rPr>
        <w:t>b</w:t>
      </w:r>
      <w:r>
        <w:rPr>
          <w:rFonts w:ascii="Times New Roman" w:cs="Times New Roman" w:eastAsia="Times New Roman" w:hAnsi="Times New Roman"/>
          <w:sz w:val="20"/>
          <w:szCs w:val="20"/>
          <w:color w:val="auto"/>
        </w:rPr>
        <w:t>) a amostragem, testes e análises em laboratórios</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acreditados;</w:t>
      </w:r>
    </w:p>
    <w:p>
      <w:pPr>
        <w:spacing w:after="0" w:line="1" w:lineRule="exact"/>
        <w:rPr>
          <w:sz w:val="20"/>
          <w:szCs w:val="20"/>
          <w:color w:val="auto"/>
        </w:rPr>
      </w:pPr>
    </w:p>
    <w:p>
      <w:pPr>
        <w:jc w:val="both"/>
        <w:ind w:left="860" w:hanging="396"/>
        <w:spacing w:after="0" w:line="229" w:lineRule="auto"/>
        <w:rPr>
          <w:sz w:val="20"/>
          <w:szCs w:val="20"/>
          <w:color w:val="auto"/>
        </w:rPr>
      </w:pPr>
      <w:r>
        <w:rPr>
          <w:rFonts w:ascii="Times New Roman" w:cs="Times New Roman" w:eastAsia="Times New Roman" w:hAnsi="Times New Roman"/>
          <w:sz w:val="20"/>
          <w:szCs w:val="20"/>
          <w:i w:val="1"/>
          <w:iCs w:val="1"/>
          <w:color w:val="auto"/>
        </w:rPr>
        <w:t>c</w:t>
      </w:r>
      <w:r>
        <w:rPr>
          <w:rFonts w:ascii="Times New Roman" w:cs="Times New Roman" w:eastAsia="Times New Roman" w:hAnsi="Times New Roman"/>
          <w:sz w:val="20"/>
          <w:szCs w:val="20"/>
          <w:color w:val="auto"/>
        </w:rPr>
        <w:t>) auditorias no âmbito da avaliação do grau de</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implementação das normas técnicas relativas aos processos de fabricação do produto; e</w:t>
      </w:r>
    </w:p>
    <w:p>
      <w:pPr>
        <w:spacing w:after="0" w:line="2" w:lineRule="exact"/>
        <w:rPr>
          <w:sz w:val="20"/>
          <w:szCs w:val="20"/>
          <w:color w:val="auto"/>
        </w:rPr>
      </w:pPr>
    </w:p>
    <w:p>
      <w:pPr>
        <w:jc w:val="both"/>
        <w:ind w:left="860" w:hanging="396"/>
        <w:spacing w:after="0" w:line="232" w:lineRule="auto"/>
        <w:rPr>
          <w:sz w:val="20"/>
          <w:szCs w:val="20"/>
          <w:color w:val="auto"/>
        </w:rPr>
      </w:pPr>
      <w:r>
        <w:rPr>
          <w:rFonts w:ascii="Times New Roman" w:cs="Times New Roman" w:eastAsia="Times New Roman" w:hAnsi="Times New Roman"/>
          <w:sz w:val="20"/>
          <w:szCs w:val="20"/>
          <w:i w:val="1"/>
          <w:iCs w:val="1"/>
          <w:color w:val="auto"/>
        </w:rPr>
        <w:t>d</w:t>
      </w:r>
      <w:r>
        <w:rPr>
          <w:rFonts w:ascii="Times New Roman" w:cs="Times New Roman" w:eastAsia="Times New Roman" w:hAnsi="Times New Roman"/>
          <w:sz w:val="20"/>
          <w:szCs w:val="20"/>
          <w:color w:val="auto"/>
        </w:rPr>
        <w:t>) análise ou verificação documental e avaliação da</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conformidade com os requisitos das normas e ou regu-lamentos aplicáveis.</w:t>
      </w:r>
    </w:p>
    <w:p>
      <w:pPr>
        <w:spacing w:after="0" w:line="16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18</w:t>
      </w:r>
    </w:p>
    <w:p>
      <w:pPr>
        <w:spacing w:after="0" w:line="129" w:lineRule="exact"/>
        <w:rPr>
          <w:sz w:val="20"/>
          <w:szCs w:val="20"/>
          <w:color w:val="auto"/>
        </w:rPr>
      </w:pPr>
    </w:p>
    <w:p>
      <w:pPr>
        <w:ind w:left="1360"/>
        <w:spacing w:after="0"/>
        <w:rPr>
          <w:sz w:val="20"/>
          <w:szCs w:val="20"/>
          <w:color w:val="auto"/>
        </w:rPr>
      </w:pPr>
      <w:r>
        <w:rPr>
          <w:rFonts w:ascii="Arial" w:cs="Arial" w:eastAsia="Arial" w:hAnsi="Arial"/>
          <w:sz w:val="16"/>
          <w:szCs w:val="16"/>
          <w:b w:val="1"/>
          <w:bCs w:val="1"/>
          <w:color w:val="auto"/>
        </w:rPr>
        <w:t>(Condições para a autorização)</w:t>
      </w:r>
    </w:p>
    <w:p>
      <w:pPr>
        <w:spacing w:after="0" w:line="124" w:lineRule="exact"/>
        <w:rPr>
          <w:sz w:val="20"/>
          <w:szCs w:val="20"/>
          <w:color w:val="auto"/>
        </w:rPr>
      </w:pPr>
    </w:p>
    <w:p>
      <w:pPr>
        <w:jc w:val="both"/>
        <w:ind w:firstLine="227"/>
        <w:spacing w:after="0" w:line="232" w:lineRule="auto"/>
        <w:tabs>
          <w:tab w:leader="none" w:pos="469" w:val="left"/>
        </w:tabs>
        <w:numPr>
          <w:ilvl w:val="0"/>
          <w:numId w:val="22"/>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As condições requeridas para que uma entidade seja autorizada a representar o INNOQ, IP, na execução de Programas de Avaliação da Conformidade são as seguintes:</w:t>
      </w:r>
    </w:p>
    <w:p>
      <w:pPr>
        <w:spacing w:after="0" w:line="20" w:lineRule="exact"/>
        <w:rPr>
          <w:sz w:val="20"/>
          <w:szCs w:val="20"/>
          <w:color w:val="auto"/>
        </w:rPr>
      </w:pPr>
      <w:r>
        <w:rPr>
          <w:sz w:val="20"/>
          <w:szCs w:val="20"/>
          <w:color w:val="auto"/>
        </w:rPr>
        <w:br w:type="column"/>
      </w:r>
    </w:p>
    <w:p>
      <w:pPr>
        <w:spacing w:after="0" w:line="269" w:lineRule="exact"/>
        <w:rPr>
          <w:sz w:val="20"/>
          <w:szCs w:val="20"/>
          <w:color w:val="auto"/>
        </w:rPr>
      </w:pPr>
    </w:p>
    <w:p>
      <w:pPr>
        <w:jc w:val="both"/>
        <w:ind w:firstLine="224"/>
        <w:spacing w:after="0" w:line="249" w:lineRule="auto"/>
        <w:tabs>
          <w:tab w:leader="none" w:pos="414" w:val="left"/>
        </w:tabs>
        <w:numPr>
          <w:ilvl w:val="0"/>
          <w:numId w:val="23"/>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Compete ao Ministro que superintende o sector da indústria e comércio aprovar a marca nacional da conformidade, que assegura a conformidade com os requisitos estabelecidos pelas normas e regulamentos técnicos, cujos mecanismos e condições </w:t>
      </w:r>
      <w:r>
        <w:rPr>
          <w:rFonts w:ascii="Arial" w:cs="Arial" w:eastAsia="Arial" w:hAnsi="Arial"/>
          <w:sz w:val="20"/>
          <w:szCs w:val="20"/>
          <w:color w:val="auto"/>
        </w:rPr>
        <w:t xml:space="preserve">estejam definidos nos respectivos procedimentos de avaliação </w:t>
      </w:r>
      <w:r>
        <w:rPr>
          <w:rFonts w:ascii="Times New Roman" w:cs="Times New Roman" w:eastAsia="Times New Roman" w:hAnsi="Times New Roman"/>
          <w:sz w:val="20"/>
          <w:szCs w:val="20"/>
          <w:color w:val="auto"/>
        </w:rPr>
        <w:t>da conformidade.</w:t>
      </w:r>
    </w:p>
    <w:p>
      <w:pPr>
        <w:spacing w:after="0" w:line="6" w:lineRule="exact"/>
        <w:rPr>
          <w:rFonts w:ascii="Times New Roman" w:cs="Times New Roman" w:eastAsia="Times New Roman" w:hAnsi="Times New Roman"/>
          <w:sz w:val="20"/>
          <w:szCs w:val="20"/>
          <w:color w:val="auto"/>
        </w:rPr>
      </w:pPr>
    </w:p>
    <w:p>
      <w:pPr>
        <w:ind w:firstLine="224"/>
        <w:spacing w:after="0" w:line="249" w:lineRule="auto"/>
        <w:tabs>
          <w:tab w:leader="none" w:pos="479" w:val="left"/>
        </w:tabs>
        <w:numPr>
          <w:ilvl w:val="0"/>
          <w:numId w:val="23"/>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 gestão da marca nacional da conformidade é da responsabilidade do INNOQ, IP.</w:t>
      </w:r>
    </w:p>
    <w:p>
      <w:pPr>
        <w:spacing w:after="0" w:line="2" w:lineRule="exact"/>
        <w:rPr>
          <w:rFonts w:ascii="Times New Roman" w:cs="Times New Roman" w:eastAsia="Times New Roman" w:hAnsi="Times New Roman"/>
          <w:sz w:val="20"/>
          <w:szCs w:val="20"/>
          <w:color w:val="auto"/>
        </w:rPr>
      </w:pPr>
    </w:p>
    <w:p>
      <w:pPr>
        <w:ind w:firstLine="224"/>
        <w:spacing w:after="0" w:line="249" w:lineRule="auto"/>
        <w:tabs>
          <w:tab w:leader="none" w:pos="471" w:val="left"/>
        </w:tabs>
        <w:numPr>
          <w:ilvl w:val="0"/>
          <w:numId w:val="23"/>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 marca nacional da conformidade é protegida pela legislação vigente.</w:t>
      </w:r>
    </w:p>
    <w:p>
      <w:pPr>
        <w:spacing w:after="0" w:line="2" w:lineRule="exact"/>
        <w:rPr>
          <w:rFonts w:ascii="Times New Roman" w:cs="Times New Roman" w:eastAsia="Times New Roman" w:hAnsi="Times New Roman"/>
          <w:sz w:val="20"/>
          <w:szCs w:val="20"/>
          <w:color w:val="auto"/>
        </w:rPr>
      </w:pPr>
    </w:p>
    <w:p>
      <w:pPr>
        <w:jc w:val="both"/>
        <w:ind w:firstLine="224"/>
        <w:spacing w:after="0" w:line="249" w:lineRule="auto"/>
        <w:tabs>
          <w:tab w:leader="none" w:pos="449" w:val="left"/>
        </w:tabs>
        <w:numPr>
          <w:ilvl w:val="0"/>
          <w:numId w:val="23"/>
        </w:numPr>
        <w:rPr>
          <w:rFonts w:ascii="Arial" w:cs="Arial" w:eastAsia="Arial" w:hAnsi="Arial"/>
          <w:sz w:val="20"/>
          <w:szCs w:val="20"/>
          <w:color w:val="auto"/>
        </w:rPr>
      </w:pPr>
      <w:r>
        <w:rPr>
          <w:rFonts w:ascii="Arial" w:cs="Arial" w:eastAsia="Arial" w:hAnsi="Arial"/>
          <w:sz w:val="20"/>
          <w:szCs w:val="20"/>
          <w:color w:val="auto"/>
        </w:rPr>
        <w:t xml:space="preserve">Os certificados da conformidade e licenças são emitidos </w:t>
      </w:r>
      <w:r>
        <w:rPr>
          <w:rFonts w:ascii="Times New Roman" w:cs="Times New Roman" w:eastAsia="Times New Roman" w:hAnsi="Times New Roman"/>
          <w:sz w:val="20"/>
          <w:szCs w:val="20"/>
          <w:color w:val="auto"/>
        </w:rPr>
        <w:t>no âmbito da realização das Actividades de Avaliação da Conformidade de acordo com os procedimentos estabelecidos e legislação aplicável.</w:t>
      </w:r>
    </w:p>
    <w:p>
      <w:pPr>
        <w:spacing w:after="0" w:line="16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CAPÍTULO VI</w:t>
      </w:r>
    </w:p>
    <w:p>
      <w:pPr>
        <w:spacing w:after="0" w:line="110"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Fiscalização, Taxas, Infracções e Sanções</w:t>
      </w:r>
    </w:p>
    <w:p>
      <w:pPr>
        <w:spacing w:after="0" w:line="7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21</w:t>
      </w:r>
    </w:p>
    <w:p>
      <w:pPr>
        <w:spacing w:after="0" w:line="129" w:lineRule="exact"/>
        <w:rPr>
          <w:sz w:val="20"/>
          <w:szCs w:val="20"/>
          <w:color w:val="auto"/>
        </w:rPr>
      </w:pPr>
    </w:p>
    <w:p>
      <w:pPr>
        <w:ind w:left="2020"/>
        <w:spacing w:after="0"/>
        <w:rPr>
          <w:sz w:val="20"/>
          <w:szCs w:val="20"/>
          <w:color w:val="auto"/>
        </w:rPr>
      </w:pPr>
      <w:r>
        <w:rPr>
          <w:rFonts w:ascii="Arial" w:cs="Arial" w:eastAsia="Arial" w:hAnsi="Arial"/>
          <w:sz w:val="16"/>
          <w:szCs w:val="16"/>
          <w:b w:val="1"/>
          <w:bCs w:val="1"/>
          <w:color w:val="auto"/>
        </w:rPr>
        <w:t>(Fiscalização)</w:t>
      </w:r>
    </w:p>
    <w:p>
      <w:pPr>
        <w:spacing w:after="0" w:line="134" w:lineRule="exact"/>
        <w:rPr>
          <w:sz w:val="20"/>
          <w:szCs w:val="20"/>
          <w:color w:val="auto"/>
        </w:rPr>
      </w:pPr>
    </w:p>
    <w:p>
      <w:pPr>
        <w:jc w:val="both"/>
        <w:ind w:firstLine="224"/>
        <w:spacing w:after="0" w:line="239" w:lineRule="auto"/>
        <w:tabs>
          <w:tab w:leader="none" w:pos="473" w:val="left"/>
        </w:tabs>
        <w:numPr>
          <w:ilvl w:val="0"/>
          <w:numId w:val="24"/>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Sem prejuízo das demais entidades com funções de </w:t>
      </w:r>
      <w:r>
        <w:rPr>
          <w:rFonts w:ascii="Arial" w:cs="Arial" w:eastAsia="Arial" w:hAnsi="Arial"/>
          <w:sz w:val="20"/>
          <w:szCs w:val="20"/>
          <w:color w:val="auto"/>
        </w:rPr>
        <w:t xml:space="preserve">fiscalização, cabe à entidade que superintende as áreas das actividades económicas fiscalizar o cumprimento do disposto no </w:t>
      </w:r>
      <w:r>
        <w:rPr>
          <w:rFonts w:ascii="Times New Roman" w:cs="Times New Roman" w:eastAsia="Times New Roman" w:hAnsi="Times New Roman"/>
          <w:sz w:val="20"/>
          <w:szCs w:val="20"/>
          <w:color w:val="auto"/>
        </w:rPr>
        <w:t>presente Regulamento.</w:t>
      </w:r>
    </w:p>
    <w:p>
      <w:pPr>
        <w:spacing w:after="0" w:line="2" w:lineRule="exact"/>
        <w:rPr>
          <w:rFonts w:ascii="Times New Roman" w:cs="Times New Roman" w:eastAsia="Times New Roman" w:hAnsi="Times New Roman"/>
          <w:sz w:val="20"/>
          <w:szCs w:val="20"/>
          <w:color w:val="auto"/>
        </w:rPr>
      </w:pPr>
    </w:p>
    <w:p>
      <w:pPr>
        <w:jc w:val="both"/>
        <w:ind w:firstLine="224"/>
        <w:spacing w:after="0" w:line="258" w:lineRule="auto"/>
        <w:tabs>
          <w:tab w:leader="none" w:pos="408" w:val="left"/>
        </w:tabs>
        <w:numPr>
          <w:ilvl w:val="0"/>
          <w:numId w:val="24"/>
        </w:numPr>
        <w:rPr>
          <w:rFonts w:ascii="Arial" w:cs="Arial" w:eastAsia="Arial" w:hAnsi="Arial"/>
          <w:sz w:val="19"/>
          <w:szCs w:val="19"/>
          <w:color w:val="auto"/>
        </w:rPr>
      </w:pPr>
      <w:r>
        <w:rPr>
          <w:rFonts w:ascii="Arial" w:cs="Arial" w:eastAsia="Arial" w:hAnsi="Arial"/>
          <w:sz w:val="19"/>
          <w:szCs w:val="19"/>
          <w:color w:val="auto"/>
        </w:rPr>
        <w:t xml:space="preserve">O órgão de fiscalização referido no número anterior, pode, no </w:t>
      </w:r>
      <w:r>
        <w:rPr>
          <w:rFonts w:ascii="Times New Roman" w:cs="Times New Roman" w:eastAsia="Times New Roman" w:hAnsi="Times New Roman"/>
          <w:sz w:val="19"/>
          <w:szCs w:val="19"/>
          <w:color w:val="auto"/>
        </w:rPr>
        <w:t>exercício das suas funções, solicitar a colaboração de autoridades judiciárias, de segurança pública ou administrativas.</w:t>
      </w:r>
    </w:p>
    <w:p>
      <w:pPr>
        <w:spacing w:after="0" w:line="137" w:lineRule="exact"/>
        <w:rPr>
          <w:sz w:val="20"/>
          <w:szCs w:val="20"/>
          <w:color w:val="auto"/>
        </w:rPr>
      </w:pPr>
    </w:p>
    <w:p>
      <w:pPr>
        <w:sectPr>
          <w:pgSz w:w="11900" w:h="16838" w:orient="portrait"/>
          <w:cols w:equalWidth="0" w:num="2">
            <w:col w:w="5080" w:space="380"/>
            <w:col w:w="5080"/>
          </w:cols>
          <w:pgMar w:left="680" w:top="801" w:right="686" w:bottom="63" w:gutter="0" w:footer="0" w:header="0"/>
          <w:type w:val="continuous"/>
        </w:sectPr>
      </w:pPr>
    </w:p>
    <w:p>
      <w:pPr>
        <w:ind w:left="460"/>
        <w:spacing w:after="0"/>
        <w:rPr>
          <w:sz w:val="20"/>
          <w:szCs w:val="20"/>
          <w:color w:val="auto"/>
        </w:rPr>
      </w:pPr>
      <w:r>
        <w:rPr>
          <w:rFonts w:ascii="Times New Roman" w:cs="Times New Roman" w:eastAsia="Times New Roman" w:hAnsi="Times New Roman"/>
          <w:sz w:val="20"/>
          <w:szCs w:val="20"/>
          <w:i w:val="1"/>
          <w:iCs w:val="1"/>
          <w:color w:val="auto"/>
        </w:rPr>
        <w:t>a</w:t>
      </w:r>
      <w:r>
        <w:rPr>
          <w:rFonts w:ascii="Arial" w:cs="Arial" w:eastAsia="Arial" w:hAnsi="Arial"/>
          <w:sz w:val="20"/>
          <w:szCs w:val="20"/>
          <w:color w:val="auto"/>
        </w:rPr>
        <w:t>) competência profissional e pessoal qualificado;</w:t>
      </w:r>
    </w:p>
    <w:p>
      <w:pPr>
        <w:jc w:val="both"/>
        <w:ind w:left="860" w:right="20" w:hanging="396"/>
        <w:spacing w:after="0" w:line="241" w:lineRule="auto"/>
        <w:rPr>
          <w:sz w:val="20"/>
          <w:szCs w:val="20"/>
          <w:color w:val="auto"/>
        </w:rPr>
      </w:pPr>
      <w:r>
        <w:rPr>
          <w:rFonts w:ascii="Times New Roman" w:cs="Times New Roman" w:eastAsia="Times New Roman" w:hAnsi="Times New Roman"/>
          <w:sz w:val="19"/>
          <w:szCs w:val="19"/>
          <w:i w:val="1"/>
          <w:iCs w:val="1"/>
          <w:color w:val="auto"/>
        </w:rPr>
        <w:t>b</w:t>
      </w:r>
      <w:r>
        <w:rPr>
          <w:rFonts w:ascii="Times New Roman" w:cs="Times New Roman" w:eastAsia="Times New Roman" w:hAnsi="Times New Roman"/>
          <w:sz w:val="19"/>
          <w:szCs w:val="19"/>
          <w:color w:val="auto"/>
        </w:rPr>
        <w:t>) equipamento e infraestrutura que cumprem os requisitos</w:t>
      </w:r>
      <w:r>
        <w:rPr>
          <w:rFonts w:ascii="Times New Roman" w:cs="Times New Roman" w:eastAsia="Times New Roman" w:hAnsi="Times New Roman"/>
          <w:sz w:val="19"/>
          <w:szCs w:val="19"/>
          <w:i w:val="1"/>
          <w:iCs w:val="1"/>
          <w:color w:val="auto"/>
        </w:rPr>
        <w:t xml:space="preserve"> </w:t>
      </w:r>
      <w:r>
        <w:rPr>
          <w:rFonts w:ascii="Times New Roman" w:cs="Times New Roman" w:eastAsia="Times New Roman" w:hAnsi="Times New Roman"/>
          <w:sz w:val="19"/>
          <w:szCs w:val="19"/>
          <w:color w:val="auto"/>
        </w:rPr>
        <w:t>para avaliação da conformidade, incluindo rede internacional de laboratórios acreditados;</w:t>
      </w:r>
    </w:p>
    <w:p>
      <w:pPr>
        <w:spacing w:after="0" w:line="2" w:lineRule="exact"/>
        <w:rPr>
          <w:sz w:val="20"/>
          <w:szCs w:val="20"/>
          <w:color w:val="auto"/>
        </w:rPr>
      </w:pPr>
    </w:p>
    <w:p>
      <w:pPr>
        <w:jc w:val="both"/>
        <w:ind w:left="860" w:hanging="396"/>
        <w:spacing w:after="0" w:line="229" w:lineRule="auto"/>
        <w:rPr>
          <w:sz w:val="20"/>
          <w:szCs w:val="20"/>
          <w:color w:val="auto"/>
        </w:rPr>
      </w:pPr>
      <w:r>
        <w:rPr>
          <w:rFonts w:ascii="Times New Roman" w:cs="Times New Roman" w:eastAsia="Times New Roman" w:hAnsi="Times New Roman"/>
          <w:sz w:val="20"/>
          <w:szCs w:val="20"/>
          <w:i w:val="1"/>
          <w:iCs w:val="1"/>
          <w:color w:val="auto"/>
        </w:rPr>
        <w:t>c</w:t>
      </w:r>
      <w:r>
        <w:rPr>
          <w:rFonts w:ascii="Times New Roman" w:cs="Times New Roman" w:eastAsia="Times New Roman" w:hAnsi="Times New Roman"/>
          <w:sz w:val="20"/>
          <w:szCs w:val="20"/>
          <w:color w:val="auto"/>
        </w:rPr>
        <w:t>) independência e imparcialidade no procedimento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de avaliação da conformidade;</w:t>
      </w:r>
    </w:p>
    <w:p>
      <w:pPr>
        <w:spacing w:after="0" w:line="1" w:lineRule="exact"/>
        <w:rPr>
          <w:sz w:val="20"/>
          <w:szCs w:val="20"/>
          <w:color w:val="auto"/>
        </w:rPr>
      </w:pPr>
    </w:p>
    <w:p>
      <w:pPr>
        <w:jc w:val="both"/>
        <w:ind w:left="860" w:hanging="396"/>
        <w:spacing w:after="0" w:line="229" w:lineRule="auto"/>
        <w:rPr>
          <w:sz w:val="20"/>
          <w:szCs w:val="20"/>
          <w:color w:val="auto"/>
        </w:rPr>
      </w:pPr>
      <w:r>
        <w:rPr>
          <w:rFonts w:ascii="Times New Roman" w:cs="Times New Roman" w:eastAsia="Times New Roman" w:hAnsi="Times New Roman"/>
          <w:sz w:val="20"/>
          <w:szCs w:val="20"/>
          <w:i w:val="1"/>
          <w:iCs w:val="1"/>
          <w:color w:val="auto"/>
        </w:rPr>
        <w:t>d</w:t>
      </w:r>
      <w:r>
        <w:rPr>
          <w:rFonts w:ascii="Times New Roman" w:cs="Times New Roman" w:eastAsia="Times New Roman" w:hAnsi="Times New Roman"/>
          <w:sz w:val="20"/>
          <w:szCs w:val="20"/>
          <w:color w:val="auto"/>
        </w:rPr>
        <w:t>) capacidade de interoperabilidade e estabelecimento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de plataforma de comunicação, para aferição da conformidade pelo INNOQ, IP, em qualquer parte do mundo, em tempo real; e</w:t>
      </w:r>
    </w:p>
    <w:p>
      <w:pPr>
        <w:spacing w:after="0" w:line="1"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20"/>
          <w:szCs w:val="20"/>
          <w:i w:val="1"/>
          <w:iCs w:val="1"/>
          <w:color w:val="auto"/>
        </w:rPr>
        <w:t>e</w:t>
      </w:r>
      <w:r>
        <w:rPr>
          <w:rFonts w:ascii="Arial" w:cs="Arial" w:eastAsia="Arial" w:hAnsi="Arial"/>
          <w:sz w:val="20"/>
          <w:szCs w:val="20"/>
          <w:color w:val="auto"/>
        </w:rPr>
        <w:t>) confidencialidade.</w:t>
      </w:r>
    </w:p>
    <w:p>
      <w:pPr>
        <w:spacing w:after="0" w:line="47" w:lineRule="exact"/>
        <w:rPr>
          <w:sz w:val="20"/>
          <w:szCs w:val="20"/>
          <w:color w:val="auto"/>
        </w:rPr>
      </w:pPr>
    </w:p>
    <w:p>
      <w:pPr>
        <w:ind w:right="20" w:firstLine="227"/>
        <w:spacing w:after="0" w:line="229" w:lineRule="auto"/>
        <w:tabs>
          <w:tab w:leader="none" w:pos="429" w:val="left"/>
        </w:tabs>
        <w:numPr>
          <w:ilvl w:val="0"/>
          <w:numId w:val="2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Para efeitos do número 1 do presente artigo, a selecção da entidade é feita mediante concurso público.</w:t>
      </w:r>
    </w:p>
    <w:p>
      <w:pPr>
        <w:spacing w:after="0" w:line="1" w:lineRule="exact"/>
        <w:rPr>
          <w:rFonts w:ascii="Times New Roman" w:cs="Times New Roman" w:eastAsia="Times New Roman" w:hAnsi="Times New Roman"/>
          <w:sz w:val="20"/>
          <w:szCs w:val="20"/>
          <w:color w:val="auto"/>
        </w:rPr>
      </w:pPr>
    </w:p>
    <w:p>
      <w:pPr>
        <w:jc w:val="both"/>
        <w:ind w:firstLine="227"/>
        <w:spacing w:after="0" w:line="232" w:lineRule="auto"/>
        <w:tabs>
          <w:tab w:leader="none" w:pos="455" w:val="left"/>
        </w:tabs>
        <w:numPr>
          <w:ilvl w:val="0"/>
          <w:numId w:val="2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O INNOQ, IP mantém o registo e publica no jornal de maior circulação as Entidades de Avaliação da Conformidade autorizadas para o representar.</w:t>
      </w:r>
    </w:p>
    <w:p>
      <w:pPr>
        <w:spacing w:after="0" w:line="163"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19</w:t>
      </w:r>
    </w:p>
    <w:p>
      <w:pPr>
        <w:spacing w:after="0" w:line="129" w:lineRule="exact"/>
        <w:rPr>
          <w:sz w:val="20"/>
          <w:szCs w:val="20"/>
          <w:color w:val="auto"/>
        </w:rPr>
      </w:pPr>
    </w:p>
    <w:p>
      <w:pPr>
        <w:ind w:left="2060"/>
        <w:spacing w:after="0"/>
        <w:rPr>
          <w:sz w:val="20"/>
          <w:szCs w:val="20"/>
          <w:color w:val="auto"/>
        </w:rPr>
      </w:pPr>
      <w:r>
        <w:rPr>
          <w:rFonts w:ascii="Arial" w:cs="Arial" w:eastAsia="Arial" w:hAnsi="Arial"/>
          <w:sz w:val="16"/>
          <w:szCs w:val="16"/>
          <w:b w:val="1"/>
          <w:bCs w:val="1"/>
          <w:color w:val="auto"/>
        </w:rPr>
        <w:t>(Supervisão)</w:t>
      </w:r>
    </w:p>
    <w:p>
      <w:pPr>
        <w:spacing w:after="0" w:line="124" w:lineRule="exact"/>
        <w:rPr>
          <w:sz w:val="20"/>
          <w:szCs w:val="20"/>
          <w:color w:val="auto"/>
        </w:rPr>
      </w:pPr>
    </w:p>
    <w:p>
      <w:pPr>
        <w:jc w:val="both"/>
        <w:ind w:right="20" w:firstLine="227"/>
        <w:spacing w:after="0" w:line="231" w:lineRule="auto"/>
        <w:rPr>
          <w:sz w:val="20"/>
          <w:szCs w:val="20"/>
          <w:color w:val="auto"/>
        </w:rPr>
      </w:pPr>
      <w:r>
        <w:rPr>
          <w:rFonts w:ascii="Times New Roman" w:cs="Times New Roman" w:eastAsia="Times New Roman" w:hAnsi="Times New Roman"/>
          <w:sz w:val="20"/>
          <w:szCs w:val="20"/>
          <w:color w:val="auto"/>
        </w:rPr>
        <w:t>Quando demostrado que o produto não está em conformidade com os requisitos essenciais, os custos decorrentes da supervisão das actividades de Avaliação da Conformidade, no âmbito dos Programas de Avaliação da Conformidade, são da responsabilidade dos:</w:t>
      </w:r>
    </w:p>
    <w:p>
      <w:pPr>
        <w:spacing w:after="0" w:line="40"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20"/>
          <w:szCs w:val="20"/>
          <w:i w:val="1"/>
          <w:iCs w:val="1"/>
          <w:color w:val="auto"/>
        </w:rPr>
        <w:t>a</w:t>
      </w:r>
      <w:r>
        <w:rPr>
          <w:rFonts w:ascii="Times New Roman" w:cs="Times New Roman" w:eastAsia="Times New Roman" w:hAnsi="Times New Roman"/>
          <w:sz w:val="20"/>
          <w:szCs w:val="20"/>
          <w:color w:val="auto"/>
        </w:rPr>
        <w:t>) importadores; e</w:t>
      </w:r>
    </w:p>
    <w:p>
      <w:pPr>
        <w:ind w:left="460"/>
        <w:spacing w:after="0"/>
        <w:rPr>
          <w:sz w:val="20"/>
          <w:szCs w:val="20"/>
          <w:color w:val="auto"/>
        </w:rPr>
      </w:pPr>
      <w:r>
        <w:rPr>
          <w:rFonts w:ascii="Times New Roman" w:cs="Times New Roman" w:eastAsia="Times New Roman" w:hAnsi="Times New Roman"/>
          <w:sz w:val="20"/>
          <w:szCs w:val="20"/>
          <w:i w:val="1"/>
          <w:iCs w:val="1"/>
          <w:color w:val="auto"/>
        </w:rPr>
        <w:t>b</w:t>
      </w:r>
      <w:r>
        <w:rPr>
          <w:rFonts w:ascii="Times New Roman" w:cs="Times New Roman" w:eastAsia="Times New Roman" w:hAnsi="Times New Roman"/>
          <w:sz w:val="20"/>
          <w:szCs w:val="20"/>
          <w:color w:val="auto"/>
        </w:rPr>
        <w:t>) produtores e empacotadores locais.</w:t>
      </w:r>
    </w:p>
    <w:p>
      <w:pPr>
        <w:spacing w:after="0" w:line="196"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6"/>
          <w:szCs w:val="16"/>
          <w:color w:val="auto"/>
        </w:rPr>
        <w:t>SECÇÃO III</w:t>
      </w:r>
    </w:p>
    <w:p>
      <w:pPr>
        <w:spacing w:after="0" w:line="116" w:lineRule="exact"/>
        <w:rPr>
          <w:sz w:val="20"/>
          <w:szCs w:val="20"/>
          <w:color w:val="auto"/>
        </w:rPr>
      </w:pPr>
    </w:p>
    <w:p>
      <w:pPr>
        <w:jc w:val="center"/>
        <w:ind w:right="20"/>
        <w:spacing w:after="0"/>
        <w:rPr>
          <w:sz w:val="20"/>
          <w:szCs w:val="20"/>
          <w:color w:val="auto"/>
        </w:rPr>
      </w:pPr>
      <w:r>
        <w:rPr>
          <w:rFonts w:ascii="Arial" w:cs="Arial" w:eastAsia="Arial" w:hAnsi="Arial"/>
          <w:sz w:val="16"/>
          <w:szCs w:val="16"/>
          <w:color w:val="auto"/>
        </w:rPr>
        <w:t>Marcas da conformidade, certificados da conformidade e Licenças</w:t>
      </w:r>
    </w:p>
    <w:p>
      <w:pPr>
        <w:spacing w:after="0" w:line="90"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20</w:t>
      </w:r>
    </w:p>
    <w:p>
      <w:pPr>
        <w:spacing w:after="0" w:line="101" w:lineRule="exact"/>
        <w:rPr>
          <w:sz w:val="20"/>
          <w:szCs w:val="20"/>
          <w:color w:val="auto"/>
        </w:rPr>
      </w:pPr>
    </w:p>
    <w:p>
      <w:pPr>
        <w:ind w:left="420"/>
        <w:spacing w:after="0"/>
        <w:rPr>
          <w:sz w:val="20"/>
          <w:szCs w:val="20"/>
          <w:color w:val="auto"/>
        </w:rPr>
      </w:pPr>
      <w:r>
        <w:rPr>
          <w:rFonts w:ascii="Arial" w:cs="Arial" w:eastAsia="Arial" w:hAnsi="Arial"/>
          <w:sz w:val="16"/>
          <w:szCs w:val="16"/>
          <w:b w:val="1"/>
          <w:bCs w:val="1"/>
          <w:color w:val="auto"/>
        </w:rPr>
        <w:t>(Marcas da conformidade, certificados da conformidade</w:t>
      </w:r>
    </w:p>
    <w:p>
      <w:pPr>
        <w:spacing w:after="0" w:line="36" w:lineRule="exact"/>
        <w:rPr>
          <w:sz w:val="20"/>
          <w:szCs w:val="20"/>
          <w:color w:val="auto"/>
        </w:rPr>
      </w:pPr>
    </w:p>
    <w:p>
      <w:pPr>
        <w:ind w:left="2260" w:hanging="125"/>
        <w:spacing w:after="0"/>
        <w:tabs>
          <w:tab w:leader="none" w:pos="2260" w:val="left"/>
        </w:tabs>
        <w:numPr>
          <w:ilvl w:val="1"/>
          <w:numId w:val="26"/>
        </w:numPr>
        <w:rPr>
          <w:rFonts w:ascii="Arial" w:cs="Arial" w:eastAsia="Arial" w:hAnsi="Arial"/>
          <w:sz w:val="16"/>
          <w:szCs w:val="16"/>
          <w:b w:val="1"/>
          <w:bCs w:val="1"/>
          <w:color w:val="auto"/>
        </w:rPr>
      </w:pPr>
      <w:r>
        <w:rPr>
          <w:rFonts w:ascii="Arial" w:cs="Arial" w:eastAsia="Arial" w:hAnsi="Arial"/>
          <w:sz w:val="16"/>
          <w:szCs w:val="16"/>
          <w:b w:val="1"/>
          <w:bCs w:val="1"/>
          <w:color w:val="auto"/>
        </w:rPr>
        <w:t>licenças)</w:t>
      </w:r>
    </w:p>
    <w:p>
      <w:pPr>
        <w:spacing w:after="0" w:line="95" w:lineRule="exact"/>
        <w:rPr>
          <w:rFonts w:ascii="Arial" w:cs="Arial" w:eastAsia="Arial" w:hAnsi="Arial"/>
          <w:sz w:val="16"/>
          <w:szCs w:val="16"/>
          <w:b w:val="1"/>
          <w:bCs w:val="1"/>
          <w:color w:val="auto"/>
        </w:rPr>
      </w:pPr>
    </w:p>
    <w:p>
      <w:pPr>
        <w:jc w:val="both"/>
        <w:ind w:right="20" w:firstLine="227"/>
        <w:spacing w:after="0" w:line="232" w:lineRule="auto"/>
        <w:tabs>
          <w:tab w:leader="none" w:pos="444" w:val="left"/>
        </w:tabs>
        <w:numPr>
          <w:ilvl w:val="0"/>
          <w:numId w:val="2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A conformidade de produtos, processos ou serviços com as normas e regulamentos técnicos é evidenciada por marcas </w:t>
      </w:r>
      <w:r>
        <w:rPr>
          <w:rFonts w:ascii="Arial" w:cs="Arial" w:eastAsia="Arial" w:hAnsi="Arial"/>
          <w:sz w:val="20"/>
          <w:szCs w:val="20"/>
          <w:color w:val="auto"/>
        </w:rPr>
        <w:t>e certificados da conformidade.</w:t>
      </w:r>
    </w:p>
    <w:p>
      <w:pPr>
        <w:spacing w:after="0" w:line="20" w:lineRule="exact"/>
        <w:rPr>
          <w:sz w:val="20"/>
          <w:szCs w:val="20"/>
          <w:color w:val="auto"/>
        </w:rPr>
      </w:pPr>
      <w:r>
        <w:rPr>
          <w:sz w:val="20"/>
          <w:szCs w:val="20"/>
          <w:color w:val="auto"/>
        </w:rPr>
        <w:br w:type="column"/>
      </w:r>
    </w:p>
    <w:p>
      <w:pPr>
        <w:jc w:val="center"/>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22</w:t>
      </w:r>
    </w:p>
    <w:p>
      <w:pPr>
        <w:spacing w:after="0" w:line="129" w:lineRule="exact"/>
        <w:rPr>
          <w:sz w:val="20"/>
          <w:szCs w:val="20"/>
          <w:color w:val="auto"/>
        </w:rPr>
      </w:pPr>
    </w:p>
    <w:p>
      <w:pPr>
        <w:ind w:left="2260"/>
        <w:spacing w:after="0"/>
        <w:rPr>
          <w:sz w:val="20"/>
          <w:szCs w:val="20"/>
          <w:color w:val="auto"/>
        </w:rPr>
      </w:pPr>
      <w:r>
        <w:rPr>
          <w:rFonts w:ascii="Arial" w:cs="Arial" w:eastAsia="Arial" w:hAnsi="Arial"/>
          <w:sz w:val="16"/>
          <w:szCs w:val="16"/>
          <w:b w:val="1"/>
          <w:bCs w:val="1"/>
          <w:color w:val="auto"/>
        </w:rPr>
        <w:t>(Taxas)</w:t>
      </w:r>
    </w:p>
    <w:p>
      <w:pPr>
        <w:spacing w:after="0" w:line="134" w:lineRule="exact"/>
        <w:rPr>
          <w:sz w:val="20"/>
          <w:szCs w:val="20"/>
          <w:color w:val="auto"/>
        </w:rPr>
      </w:pPr>
    </w:p>
    <w:p>
      <w:pPr>
        <w:ind w:firstLine="224"/>
        <w:spacing w:after="0" w:line="239" w:lineRule="auto"/>
        <w:tabs>
          <w:tab w:leader="none" w:pos="442" w:val="left"/>
        </w:tabs>
        <w:numPr>
          <w:ilvl w:val="0"/>
          <w:numId w:val="2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São devidas taxas pela Actividade de Avaliação da Con-formidade nos termos do presente Regulamento.</w:t>
      </w:r>
    </w:p>
    <w:p>
      <w:pPr>
        <w:spacing w:after="0" w:line="1" w:lineRule="exact"/>
        <w:rPr>
          <w:rFonts w:ascii="Times New Roman" w:cs="Times New Roman" w:eastAsia="Times New Roman" w:hAnsi="Times New Roman"/>
          <w:sz w:val="20"/>
          <w:szCs w:val="20"/>
          <w:color w:val="auto"/>
        </w:rPr>
      </w:pPr>
    </w:p>
    <w:p>
      <w:pPr>
        <w:jc w:val="both"/>
        <w:ind w:firstLine="224"/>
        <w:spacing w:after="0" w:line="239" w:lineRule="auto"/>
        <w:tabs>
          <w:tab w:leader="none" w:pos="449" w:val="left"/>
        </w:tabs>
        <w:numPr>
          <w:ilvl w:val="0"/>
          <w:numId w:val="2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Compete ao Ministro das Finanças e o de tutela da área de actividade aprovar, por Diploma Ministerial conjunto, as taxas referidas no número anterior, bem como o destino a dar às respectivas receitas.</w:t>
      </w:r>
    </w:p>
    <w:p>
      <w:pPr>
        <w:spacing w:after="0" w:line="173" w:lineRule="exact"/>
        <w:rPr>
          <w:sz w:val="20"/>
          <w:szCs w:val="20"/>
          <w:color w:val="auto"/>
        </w:rPr>
      </w:pPr>
    </w:p>
    <w:p>
      <w:pPr>
        <w:ind w:left="214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23</w:t>
      </w:r>
    </w:p>
    <w:p>
      <w:pPr>
        <w:spacing w:after="0" w:line="129" w:lineRule="exact"/>
        <w:rPr>
          <w:sz w:val="20"/>
          <w:szCs w:val="20"/>
          <w:color w:val="auto"/>
        </w:rPr>
      </w:pPr>
    </w:p>
    <w:p>
      <w:pPr>
        <w:ind w:left="2080"/>
        <w:spacing w:after="0"/>
        <w:rPr>
          <w:sz w:val="20"/>
          <w:szCs w:val="20"/>
          <w:color w:val="auto"/>
        </w:rPr>
      </w:pPr>
      <w:r>
        <w:rPr>
          <w:rFonts w:ascii="Arial" w:cs="Arial" w:eastAsia="Arial" w:hAnsi="Arial"/>
          <w:sz w:val="16"/>
          <w:szCs w:val="16"/>
          <w:b w:val="1"/>
          <w:bCs w:val="1"/>
          <w:color w:val="auto"/>
        </w:rPr>
        <w:t>(Infracções)</w:t>
      </w:r>
    </w:p>
    <w:p>
      <w:pPr>
        <w:spacing w:after="0" w:line="134" w:lineRule="exact"/>
        <w:rPr>
          <w:sz w:val="20"/>
          <w:szCs w:val="20"/>
          <w:color w:val="auto"/>
        </w:rPr>
      </w:pPr>
    </w:p>
    <w:p>
      <w:pPr>
        <w:ind w:firstLine="227"/>
        <w:spacing w:after="0" w:line="239" w:lineRule="auto"/>
        <w:rPr>
          <w:sz w:val="20"/>
          <w:szCs w:val="20"/>
          <w:color w:val="auto"/>
        </w:rPr>
      </w:pPr>
      <w:r>
        <w:rPr>
          <w:rFonts w:ascii="Times New Roman" w:cs="Times New Roman" w:eastAsia="Times New Roman" w:hAnsi="Times New Roman"/>
          <w:sz w:val="20"/>
          <w:szCs w:val="20"/>
          <w:color w:val="auto"/>
        </w:rPr>
        <w:t>Sem prejuízo das infracções previstas na lei geral, constituem infracções ao presente Regulamento:</w:t>
      </w:r>
    </w:p>
    <w:p>
      <w:pPr>
        <w:spacing w:after="0" w:line="59" w:lineRule="exact"/>
        <w:rPr>
          <w:sz w:val="20"/>
          <w:szCs w:val="20"/>
          <w:color w:val="auto"/>
        </w:rPr>
      </w:pPr>
    </w:p>
    <w:p>
      <w:pPr>
        <w:jc w:val="both"/>
        <w:ind w:left="84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a</w:t>
      </w:r>
      <w:r>
        <w:rPr>
          <w:rFonts w:ascii="Times New Roman" w:cs="Times New Roman" w:eastAsia="Times New Roman" w:hAnsi="Times New Roman"/>
          <w:sz w:val="20"/>
          <w:szCs w:val="20"/>
          <w:color w:val="auto"/>
        </w:rPr>
        <w:t>) a reprodução parcial ou total da Norma Técnica</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Moçambicana feita por entidade diferente do INNOQ, IP;</w:t>
      </w:r>
    </w:p>
    <w:p>
      <w:pPr>
        <w:spacing w:after="0" w:line="3" w:lineRule="exact"/>
        <w:rPr>
          <w:sz w:val="20"/>
          <w:szCs w:val="20"/>
          <w:color w:val="auto"/>
        </w:rPr>
      </w:pPr>
    </w:p>
    <w:p>
      <w:pPr>
        <w:jc w:val="both"/>
        <w:ind w:left="780" w:hanging="396"/>
        <w:spacing w:after="0" w:line="239" w:lineRule="auto"/>
        <w:tabs>
          <w:tab w:leader="none" w:pos="760" w:val="left"/>
        </w:tabs>
        <w:rPr>
          <w:sz w:val="20"/>
          <w:szCs w:val="20"/>
          <w:color w:val="auto"/>
        </w:rPr>
      </w:pPr>
      <w:r>
        <w:rPr>
          <w:rFonts w:ascii="Times New Roman" w:cs="Times New Roman" w:eastAsia="Times New Roman" w:hAnsi="Times New Roman"/>
          <w:sz w:val="20"/>
          <w:szCs w:val="20"/>
          <w:i w:val="1"/>
          <w:iCs w:val="1"/>
          <w:color w:val="auto"/>
        </w:rPr>
        <w:t>b</w:t>
      </w:r>
      <w:r>
        <w:rPr>
          <w:rFonts w:ascii="Arial" w:cs="Arial" w:eastAsia="Arial" w:hAnsi="Arial"/>
          <w:sz w:val="20"/>
          <w:szCs w:val="20"/>
          <w:color w:val="auto"/>
        </w:rPr>
        <w:t>)</w:t>
      </w:r>
      <w:r>
        <w:rPr>
          <w:sz w:val="20"/>
          <w:szCs w:val="20"/>
          <w:color w:val="auto"/>
        </w:rPr>
        <w:tab/>
      </w:r>
      <w:r>
        <w:rPr>
          <w:rFonts w:ascii="Arial" w:cs="Arial" w:eastAsia="Arial" w:hAnsi="Arial"/>
          <w:sz w:val="20"/>
          <w:szCs w:val="20"/>
          <w:color w:val="auto"/>
        </w:rPr>
        <w:t xml:space="preserve">o uso indevido do certificado, licença ou marca da </w:t>
      </w:r>
      <w:r>
        <w:rPr>
          <w:rFonts w:ascii="Times New Roman" w:cs="Times New Roman" w:eastAsia="Times New Roman" w:hAnsi="Times New Roman"/>
          <w:sz w:val="20"/>
          <w:szCs w:val="20"/>
          <w:color w:val="auto"/>
        </w:rPr>
        <w:t>conformidade para fim distinto daquele a que se destina;</w:t>
      </w:r>
    </w:p>
    <w:p>
      <w:pPr>
        <w:spacing w:after="0" w:line="2" w:lineRule="exact"/>
        <w:rPr>
          <w:sz w:val="20"/>
          <w:szCs w:val="20"/>
          <w:color w:val="auto"/>
        </w:rPr>
      </w:pPr>
    </w:p>
    <w:p>
      <w:pPr>
        <w:jc w:val="both"/>
        <w:ind w:left="84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c</w:t>
      </w:r>
      <w:r>
        <w:rPr>
          <w:rFonts w:ascii="Times New Roman" w:cs="Times New Roman" w:eastAsia="Times New Roman" w:hAnsi="Times New Roman"/>
          <w:sz w:val="20"/>
          <w:szCs w:val="20"/>
          <w:color w:val="auto"/>
        </w:rPr>
        <w:t>) a adopção de condutas ou omissões que enganam 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consumidor ou constituam uma prática que possa induzí-lo em erro;</w:t>
      </w:r>
    </w:p>
    <w:p>
      <w:pPr>
        <w:spacing w:after="0" w:line="3" w:lineRule="exact"/>
        <w:rPr>
          <w:sz w:val="20"/>
          <w:szCs w:val="20"/>
          <w:color w:val="auto"/>
        </w:rPr>
      </w:pPr>
    </w:p>
    <w:p>
      <w:pPr>
        <w:jc w:val="both"/>
        <w:ind w:left="84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d</w:t>
      </w:r>
      <w:r>
        <w:rPr>
          <w:rFonts w:ascii="Times New Roman" w:cs="Times New Roman" w:eastAsia="Times New Roman" w:hAnsi="Times New Roman"/>
          <w:sz w:val="20"/>
          <w:szCs w:val="20"/>
          <w:color w:val="auto"/>
        </w:rPr>
        <w:t>) o impedimento ou obstrução de um agente no exercício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das suas competências;</w:t>
      </w:r>
    </w:p>
    <w:p>
      <w:pPr>
        <w:spacing w:after="0" w:line="2" w:lineRule="exact"/>
        <w:rPr>
          <w:sz w:val="20"/>
          <w:szCs w:val="20"/>
          <w:color w:val="auto"/>
        </w:rPr>
      </w:pPr>
    </w:p>
    <w:p>
      <w:pPr>
        <w:jc w:val="right"/>
        <w:ind w:left="460"/>
        <w:spacing w:after="0" w:line="266" w:lineRule="auto"/>
        <w:rPr>
          <w:sz w:val="20"/>
          <w:szCs w:val="20"/>
          <w:color w:val="auto"/>
        </w:rPr>
      </w:pPr>
      <w:r>
        <w:rPr>
          <w:rFonts w:ascii="Times New Roman" w:cs="Times New Roman" w:eastAsia="Times New Roman" w:hAnsi="Times New Roman"/>
          <w:sz w:val="18"/>
          <w:szCs w:val="18"/>
          <w:i w:val="1"/>
          <w:iCs w:val="1"/>
          <w:color w:val="auto"/>
        </w:rPr>
        <w:t>e</w:t>
      </w:r>
      <w:r>
        <w:rPr>
          <w:rFonts w:ascii="Arial" w:cs="Arial" w:eastAsia="Arial" w:hAnsi="Arial"/>
          <w:sz w:val="18"/>
          <w:szCs w:val="18"/>
          <w:color w:val="auto"/>
        </w:rPr>
        <w:t>) a modificação substancial de um produto, processo ou</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 xml:space="preserve">serviço que tenha sido sujeito a uma avaliação da conformidade, sem aviso prévio à entidade competente; </w:t>
      </w:r>
      <w:r>
        <w:rPr>
          <w:rFonts w:ascii="Times New Roman" w:cs="Times New Roman" w:eastAsia="Times New Roman" w:hAnsi="Times New Roman"/>
          <w:sz w:val="18"/>
          <w:szCs w:val="18"/>
          <w:i w:val="1"/>
          <w:iCs w:val="1"/>
          <w:color w:val="auto"/>
        </w:rPr>
        <w:t>f</w:t>
      </w:r>
      <w:r>
        <w:rPr>
          <w:rFonts w:ascii="Arial" w:cs="Arial" w:eastAsia="Arial" w:hAnsi="Arial"/>
          <w:sz w:val="18"/>
          <w:szCs w:val="18"/>
          <w:color w:val="auto"/>
        </w:rPr>
        <w:t>) a declaração ou ostentação da condição de certificado para</w:t>
      </w:r>
      <w:r>
        <w:rPr>
          <w:rFonts w:ascii="Times New Roman" w:cs="Times New Roman" w:eastAsia="Times New Roman" w:hAnsi="Times New Roman"/>
          <w:sz w:val="18"/>
          <w:szCs w:val="18"/>
          <w:i w:val="1"/>
          <w:iCs w:val="1"/>
          <w:color w:val="auto"/>
        </w:rPr>
        <w:t xml:space="preserve"> </w:t>
      </w:r>
      <w:r>
        <w:rPr>
          <w:rFonts w:ascii="Arial" w:cs="Arial" w:eastAsia="Arial" w:hAnsi="Arial"/>
          <w:sz w:val="18"/>
          <w:szCs w:val="18"/>
          <w:color w:val="auto"/>
        </w:rPr>
        <w:t>realizar um trabalho, actividade ou função específica, nos casos em que não se tenha outorgado a certificação</w:t>
      </w:r>
    </w:p>
    <w:p>
      <w:pPr>
        <w:ind w:left="840"/>
        <w:spacing w:after="0"/>
        <w:rPr>
          <w:sz w:val="20"/>
          <w:szCs w:val="20"/>
          <w:color w:val="auto"/>
        </w:rPr>
      </w:pPr>
      <w:r>
        <w:rPr>
          <w:rFonts w:ascii="Times New Roman" w:cs="Times New Roman" w:eastAsia="Times New Roman" w:hAnsi="Times New Roman"/>
          <w:sz w:val="20"/>
          <w:szCs w:val="20"/>
          <w:color w:val="auto"/>
        </w:rPr>
        <w:t>correspondente;</w:t>
      </w:r>
    </w:p>
    <w:p>
      <w:pPr>
        <w:ind w:left="460"/>
        <w:spacing w:after="0" w:line="238" w:lineRule="auto"/>
        <w:rPr>
          <w:sz w:val="20"/>
          <w:szCs w:val="20"/>
          <w:color w:val="auto"/>
        </w:rPr>
      </w:pPr>
      <w:r>
        <w:rPr>
          <w:rFonts w:ascii="Times New Roman" w:cs="Times New Roman" w:eastAsia="Times New Roman" w:hAnsi="Times New Roman"/>
          <w:sz w:val="20"/>
          <w:szCs w:val="20"/>
          <w:i w:val="1"/>
          <w:iCs w:val="1"/>
          <w:color w:val="auto"/>
        </w:rPr>
        <w:t>g</w:t>
      </w:r>
      <w:r>
        <w:rPr>
          <w:rFonts w:ascii="Arial" w:cs="Arial" w:eastAsia="Arial" w:hAnsi="Arial"/>
          <w:sz w:val="20"/>
          <w:szCs w:val="20"/>
          <w:color w:val="auto"/>
        </w:rPr>
        <w:t>) o uso do certificado ou licença caducados;</w:t>
      </w:r>
    </w:p>
    <w:p>
      <w:pPr>
        <w:spacing w:after="0" w:line="1" w:lineRule="exact"/>
        <w:rPr>
          <w:sz w:val="20"/>
          <w:szCs w:val="20"/>
          <w:color w:val="auto"/>
        </w:rPr>
      </w:pPr>
    </w:p>
    <w:p>
      <w:pPr>
        <w:jc w:val="both"/>
        <w:ind w:left="840" w:hanging="396"/>
        <w:spacing w:after="0" w:line="292" w:lineRule="auto"/>
        <w:rPr>
          <w:sz w:val="20"/>
          <w:szCs w:val="20"/>
          <w:color w:val="auto"/>
        </w:rPr>
      </w:pPr>
      <w:r>
        <w:rPr>
          <w:rFonts w:ascii="Times New Roman" w:cs="Times New Roman" w:eastAsia="Times New Roman" w:hAnsi="Times New Roman"/>
          <w:sz w:val="18"/>
          <w:szCs w:val="18"/>
          <w:i w:val="1"/>
          <w:iCs w:val="1"/>
          <w:color w:val="auto"/>
        </w:rPr>
        <w:t>h</w:t>
      </w:r>
      <w:r>
        <w:rPr>
          <w:rFonts w:ascii="Times New Roman" w:cs="Times New Roman" w:eastAsia="Times New Roman" w:hAnsi="Times New Roman"/>
          <w:sz w:val="18"/>
          <w:szCs w:val="18"/>
          <w:color w:val="auto"/>
        </w:rPr>
        <w:t>) a falta de sujeição dos produtos aos processos de avaliação</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da conformidade previstos na regulamentação técnica;</w:t>
      </w:r>
    </w:p>
    <w:p>
      <w:pPr>
        <w:sectPr>
          <w:pgSz w:w="11900" w:h="16838" w:orient="portrait"/>
          <w:cols w:equalWidth="0" w:num="2">
            <w:col w:w="5100" w:space="360"/>
            <w:col w:w="5080"/>
          </w:cols>
          <w:pgMar w:left="680" w:top="801" w:right="686" w:bottom="63" w:gutter="0" w:footer="0" w:header="0"/>
          <w:type w:val="continuous"/>
        </w:sectPr>
      </w:pPr>
    </w:p>
    <w:bookmarkStart w:id="4" w:name="page5"/>
    <w:bookmarkEnd w:id="4"/>
    <w:tbl>
      <w:tblPr>
        <w:tblLayout w:type="fixed"/>
        <w:tblInd w:w="0" w:type="dxa"/>
        <w:tblCellMar>
          <w:top w:w="0" w:type="dxa"/>
          <w:left w:w="0" w:type="dxa"/>
          <w:bottom w:w="0" w:type="dxa"/>
          <w:right w:w="0" w:type="dxa"/>
        </w:tblCellMar>
      </w:tblPr>
      <w:tr>
        <w:trPr>
          <w:trHeight w:val="230"/>
        </w:trPr>
        <w:tc>
          <w:tcPr>
            <w:tcW w:w="6120" w:type="dxa"/>
            <w:vAlign w:val="bottom"/>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400" w:type="dxa"/>
            <w:vAlign w:val="bottom"/>
          </w:tcPr>
          <w:p>
            <w:pPr>
              <w:jc w:val="right"/>
              <w:spacing w:after="0"/>
              <w:rPr>
                <w:sz w:val="20"/>
                <w:szCs w:val="20"/>
                <w:color w:val="auto"/>
              </w:rPr>
            </w:pPr>
            <w:r>
              <w:rPr>
                <w:rFonts w:ascii="Times New Roman" w:cs="Times New Roman" w:eastAsia="Times New Roman" w:hAnsi="Times New Roman"/>
                <w:sz w:val="20"/>
                <w:szCs w:val="20"/>
                <w:color w:val="auto"/>
              </w:rPr>
              <w:t>349</w:t>
            </w:r>
          </w:p>
        </w:tc>
      </w:tr>
      <w:tr>
        <w:trPr>
          <w:trHeight w:val="40"/>
        </w:trPr>
        <w:tc>
          <w:tcPr>
            <w:tcW w:w="6120" w:type="dxa"/>
            <w:vAlign w:val="bottom"/>
            <w:tcBorders>
              <w:bottom w:val="single" w:sz="8" w:color="auto"/>
            </w:tcBorders>
          </w:tcPr>
          <w:p>
            <w:pPr>
              <w:spacing w:after="0"/>
              <w:rPr>
                <w:sz w:val="3"/>
                <w:szCs w:val="3"/>
                <w:color w:val="auto"/>
              </w:rPr>
            </w:pPr>
          </w:p>
        </w:tc>
        <w:tc>
          <w:tcPr>
            <w:tcW w:w="4400" w:type="dxa"/>
            <w:vAlign w:val="bottom"/>
            <w:tcBorders>
              <w:bottom w:val="single" w:sz="8" w:color="auto"/>
            </w:tcBorders>
          </w:tcPr>
          <w:p>
            <w:pPr>
              <w:spacing w:after="0"/>
              <w:rPr>
                <w:sz w:val="3"/>
                <w:szCs w:val="3"/>
                <w:color w:val="auto"/>
              </w:rPr>
            </w:pPr>
          </w:p>
        </w:tc>
      </w:tr>
    </w:tbl>
    <w:p>
      <w:pPr>
        <w:spacing w:after="0" w:line="200" w:lineRule="exact"/>
        <w:rPr>
          <w:sz w:val="20"/>
          <w:szCs w:val="20"/>
          <w:color w:val="auto"/>
        </w:rPr>
      </w:pPr>
    </w:p>
    <w:p>
      <w:pPr>
        <w:sectPr>
          <w:pgSz w:w="11900" w:h="16838" w:orient="portrait"/>
          <w:cols w:equalWidth="0" w:num="1">
            <w:col w:w="10560"/>
          </w:cols>
          <w:pgMar w:left="680" w:top="803" w:right="666" w:bottom="88" w:gutter="0" w:footer="0" w:header="0"/>
        </w:sectPr>
      </w:pPr>
    </w:p>
    <w:p>
      <w:pPr>
        <w:spacing w:after="0" w:line="36" w:lineRule="exact"/>
        <w:rPr>
          <w:sz w:val="20"/>
          <w:szCs w:val="20"/>
          <w:color w:val="auto"/>
        </w:rPr>
      </w:pPr>
    </w:p>
    <w:p>
      <w:pPr>
        <w:jc w:val="both"/>
        <w:ind w:left="860" w:right="20" w:hanging="396"/>
        <w:spacing w:after="0" w:line="252" w:lineRule="auto"/>
        <w:rPr>
          <w:sz w:val="20"/>
          <w:szCs w:val="20"/>
          <w:color w:val="auto"/>
        </w:rPr>
      </w:pPr>
      <w:r>
        <w:rPr>
          <w:rFonts w:ascii="Times New Roman" w:cs="Times New Roman" w:eastAsia="Times New Roman" w:hAnsi="Times New Roman"/>
          <w:sz w:val="19"/>
          <w:szCs w:val="19"/>
          <w:i w:val="1"/>
          <w:iCs w:val="1"/>
          <w:color w:val="auto"/>
        </w:rPr>
        <w:t>i</w:t>
      </w:r>
      <w:r>
        <w:rPr>
          <w:rFonts w:ascii="Times New Roman" w:cs="Times New Roman" w:eastAsia="Times New Roman" w:hAnsi="Times New Roman"/>
          <w:sz w:val="19"/>
          <w:szCs w:val="19"/>
          <w:color w:val="auto"/>
        </w:rPr>
        <w:t>) a utilização de Programas de Avaliação da Conformidade</w:t>
      </w:r>
      <w:r>
        <w:rPr>
          <w:rFonts w:ascii="Times New Roman" w:cs="Times New Roman" w:eastAsia="Times New Roman" w:hAnsi="Times New Roman"/>
          <w:sz w:val="19"/>
          <w:szCs w:val="19"/>
          <w:i w:val="1"/>
          <w:iCs w:val="1"/>
          <w:color w:val="auto"/>
        </w:rPr>
        <w:t xml:space="preserve"> </w:t>
      </w:r>
      <w:r>
        <w:rPr>
          <w:rFonts w:ascii="Times New Roman" w:cs="Times New Roman" w:eastAsia="Times New Roman" w:hAnsi="Times New Roman"/>
          <w:sz w:val="19"/>
          <w:szCs w:val="19"/>
          <w:color w:val="auto"/>
        </w:rPr>
        <w:t>que não estejam descritos em Língua Portuguesa;</w:t>
      </w:r>
    </w:p>
    <w:p>
      <w:pPr>
        <w:spacing w:after="0" w:line="1"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j</w:t>
      </w:r>
      <w:r>
        <w:rPr>
          <w:rFonts w:ascii="Times New Roman" w:cs="Times New Roman" w:eastAsia="Times New Roman" w:hAnsi="Times New Roman"/>
          <w:sz w:val="20"/>
          <w:szCs w:val="20"/>
          <w:color w:val="auto"/>
        </w:rPr>
        <w:t>) a colocação por qualquer empresa, outra pessoa jurídica</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ou um empreendedor de um produto em circulação que:</w:t>
      </w:r>
    </w:p>
    <w:p>
      <w:pPr>
        <w:spacing w:after="0" w:line="60" w:lineRule="exact"/>
        <w:rPr>
          <w:sz w:val="20"/>
          <w:szCs w:val="20"/>
          <w:color w:val="auto"/>
        </w:rPr>
      </w:pPr>
    </w:p>
    <w:p>
      <w:pPr>
        <w:jc w:val="both"/>
        <w:ind w:left="114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i</w:t>
      </w:r>
      <w:r>
        <w:rPr>
          <w:rFonts w:ascii="Times New Roman" w:cs="Times New Roman" w:eastAsia="Times New Roman" w:hAnsi="Times New Roman"/>
          <w:sz w:val="20"/>
          <w:szCs w:val="20"/>
          <w:color w:val="auto"/>
        </w:rPr>
        <w:t>. não esteja em conformidade com normas ou</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regulamentos técnicos aprovados, relativamente às características intrínsecas;</w:t>
      </w:r>
    </w:p>
    <w:p>
      <w:pPr>
        <w:spacing w:after="0" w:line="3" w:lineRule="exact"/>
        <w:rPr>
          <w:sz w:val="20"/>
          <w:szCs w:val="20"/>
          <w:color w:val="auto"/>
        </w:rPr>
      </w:pPr>
    </w:p>
    <w:p>
      <w:pPr>
        <w:jc w:val="both"/>
        <w:ind w:left="114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ii</w:t>
      </w:r>
      <w:r>
        <w:rPr>
          <w:rFonts w:ascii="Times New Roman" w:cs="Times New Roman" w:eastAsia="Times New Roman" w:hAnsi="Times New Roman"/>
          <w:sz w:val="20"/>
          <w:szCs w:val="20"/>
          <w:color w:val="auto"/>
        </w:rPr>
        <w:t>. não tenha sido avaliada, a sua conformidade, de</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acordo com um procedimento aprovado;</w:t>
      </w:r>
    </w:p>
    <w:p>
      <w:pPr>
        <w:spacing w:after="0" w:line="2" w:lineRule="exact"/>
        <w:rPr>
          <w:sz w:val="20"/>
          <w:szCs w:val="20"/>
          <w:color w:val="auto"/>
        </w:rPr>
      </w:pPr>
    </w:p>
    <w:p>
      <w:pPr>
        <w:jc w:val="both"/>
        <w:ind w:left="114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iii</w:t>
      </w:r>
      <w:r>
        <w:rPr>
          <w:rFonts w:ascii="Times New Roman" w:cs="Times New Roman" w:eastAsia="Times New Roman" w:hAnsi="Times New Roman"/>
          <w:sz w:val="20"/>
          <w:szCs w:val="20"/>
          <w:color w:val="auto"/>
        </w:rPr>
        <w:t>. não esteja marcado de acordo com os requisitos</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técnicos estabelecidos, ou não acompanhado de respectivos documentos de aprovação;</w:t>
      </w:r>
    </w:p>
    <w:p>
      <w:pPr>
        <w:spacing w:after="0" w:line="3" w:lineRule="exact"/>
        <w:rPr>
          <w:sz w:val="20"/>
          <w:szCs w:val="20"/>
          <w:color w:val="auto"/>
        </w:rPr>
      </w:pPr>
    </w:p>
    <w:p>
      <w:pPr>
        <w:jc w:val="both"/>
        <w:ind w:left="114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i</w:t>
      </w:r>
      <w:r>
        <w:rPr>
          <w:rFonts w:ascii="Times New Roman" w:cs="Times New Roman" w:eastAsia="Times New Roman" w:hAnsi="Times New Roman"/>
          <w:sz w:val="20"/>
          <w:szCs w:val="20"/>
          <w:color w:val="auto"/>
        </w:rPr>
        <w:t>v. se apresente com uma marca da conformidade</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ou qualquer outra marca semelhante à marca da conformidade aprovada, sem que esteja em conformidade com normas ou regulamentos técnicos aprovados em relação às características intrínsecas; e</w:t>
      </w:r>
    </w:p>
    <w:p>
      <w:pPr>
        <w:spacing w:after="0" w:line="6" w:lineRule="exact"/>
        <w:rPr>
          <w:sz w:val="20"/>
          <w:szCs w:val="20"/>
          <w:color w:val="auto"/>
        </w:rPr>
      </w:pPr>
    </w:p>
    <w:p>
      <w:pPr>
        <w:jc w:val="both"/>
        <w:ind w:left="1140" w:hanging="396"/>
        <w:spacing w:after="0" w:line="256" w:lineRule="auto"/>
        <w:rPr>
          <w:sz w:val="20"/>
          <w:szCs w:val="20"/>
          <w:color w:val="auto"/>
        </w:rPr>
      </w:pPr>
      <w:r>
        <w:rPr>
          <w:rFonts w:ascii="Times New Roman" w:cs="Times New Roman" w:eastAsia="Times New Roman" w:hAnsi="Times New Roman"/>
          <w:sz w:val="19"/>
          <w:szCs w:val="19"/>
          <w:i w:val="1"/>
          <w:iCs w:val="1"/>
          <w:color w:val="auto"/>
        </w:rPr>
        <w:t>v</w:t>
      </w:r>
      <w:r>
        <w:rPr>
          <w:rFonts w:ascii="Times New Roman" w:cs="Times New Roman" w:eastAsia="Times New Roman" w:hAnsi="Times New Roman"/>
          <w:sz w:val="19"/>
          <w:szCs w:val="19"/>
          <w:color w:val="auto"/>
        </w:rPr>
        <w:t>. se apresente com uma marca de avaliação da</w:t>
      </w:r>
      <w:r>
        <w:rPr>
          <w:rFonts w:ascii="Times New Roman" w:cs="Times New Roman" w:eastAsia="Times New Roman" w:hAnsi="Times New Roman"/>
          <w:sz w:val="19"/>
          <w:szCs w:val="19"/>
          <w:i w:val="1"/>
          <w:iCs w:val="1"/>
          <w:color w:val="auto"/>
        </w:rPr>
        <w:t xml:space="preserve"> </w:t>
      </w:r>
      <w:r>
        <w:rPr>
          <w:rFonts w:ascii="Times New Roman" w:cs="Times New Roman" w:eastAsia="Times New Roman" w:hAnsi="Times New Roman"/>
          <w:sz w:val="19"/>
          <w:szCs w:val="19"/>
          <w:color w:val="auto"/>
        </w:rPr>
        <w:t>conformdade realizada, por uma autoridade administrativa ou uma pessoa jurídica, de avaliação da conformidade sem ser autorizado para o efeito.</w:t>
      </w:r>
    </w:p>
    <w:p>
      <w:pPr>
        <w:spacing w:after="0" w:line="157" w:lineRule="exact"/>
        <w:rPr>
          <w:sz w:val="20"/>
          <w:szCs w:val="20"/>
          <w:color w:val="auto"/>
        </w:rPr>
      </w:pPr>
    </w:p>
    <w:p>
      <w:pPr>
        <w:ind w:left="214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24</w:t>
      </w:r>
    </w:p>
    <w:p>
      <w:pPr>
        <w:spacing w:after="0" w:line="129" w:lineRule="exact"/>
        <w:rPr>
          <w:sz w:val="20"/>
          <w:szCs w:val="20"/>
          <w:color w:val="auto"/>
        </w:rPr>
      </w:pPr>
    </w:p>
    <w:p>
      <w:pPr>
        <w:ind w:left="2160"/>
        <w:spacing w:after="0"/>
        <w:rPr>
          <w:sz w:val="20"/>
          <w:szCs w:val="20"/>
          <w:color w:val="auto"/>
        </w:rPr>
      </w:pPr>
      <w:r>
        <w:rPr>
          <w:rFonts w:ascii="Arial" w:cs="Arial" w:eastAsia="Arial" w:hAnsi="Arial"/>
          <w:sz w:val="16"/>
          <w:szCs w:val="16"/>
          <w:b w:val="1"/>
          <w:bCs w:val="1"/>
          <w:color w:val="auto"/>
        </w:rPr>
        <w:t>(Sanções)</w:t>
      </w:r>
    </w:p>
    <w:p>
      <w:pPr>
        <w:spacing w:after="0" w:line="134" w:lineRule="exact"/>
        <w:rPr>
          <w:sz w:val="20"/>
          <w:szCs w:val="20"/>
          <w:color w:val="auto"/>
        </w:rPr>
      </w:pPr>
    </w:p>
    <w:p>
      <w:pPr>
        <w:jc w:val="both"/>
        <w:ind w:firstLine="227"/>
        <w:spacing w:after="0" w:line="239" w:lineRule="auto"/>
        <w:tabs>
          <w:tab w:leader="none" w:pos="411" w:val="left"/>
        </w:tabs>
        <w:numPr>
          <w:ilvl w:val="0"/>
          <w:numId w:val="2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Sem prejuízo das sanções previstas na legislação em vigor, e das responsabilidades civis ou penais correspondentes, a violação das disposições do presente Regulamento é objecto de sanções administrativas e puníveis com multa de acordo com a natureza da infracção.</w:t>
      </w:r>
    </w:p>
    <w:p>
      <w:pPr>
        <w:spacing w:after="0" w:line="4" w:lineRule="exact"/>
        <w:rPr>
          <w:rFonts w:ascii="Times New Roman" w:cs="Times New Roman" w:eastAsia="Times New Roman" w:hAnsi="Times New Roman"/>
          <w:sz w:val="20"/>
          <w:szCs w:val="20"/>
          <w:color w:val="auto"/>
        </w:rPr>
      </w:pPr>
    </w:p>
    <w:p>
      <w:pPr>
        <w:ind w:right="20" w:firstLine="227"/>
        <w:spacing w:after="0" w:line="239" w:lineRule="auto"/>
        <w:tabs>
          <w:tab w:leader="none" w:pos="427" w:val="left"/>
        </w:tabs>
        <w:numPr>
          <w:ilvl w:val="0"/>
          <w:numId w:val="2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 acumulação de infracções é sancionada com a soma das multas correspondentes.</w:t>
      </w:r>
    </w:p>
    <w:p>
      <w:pPr>
        <w:spacing w:after="0" w:line="1" w:lineRule="exact"/>
        <w:rPr>
          <w:rFonts w:ascii="Times New Roman" w:cs="Times New Roman" w:eastAsia="Times New Roman" w:hAnsi="Times New Roman"/>
          <w:sz w:val="20"/>
          <w:szCs w:val="20"/>
          <w:color w:val="auto"/>
        </w:rPr>
      </w:pPr>
    </w:p>
    <w:p>
      <w:pPr>
        <w:jc w:val="both"/>
        <w:ind w:firstLine="227"/>
        <w:spacing w:after="0" w:line="239" w:lineRule="auto"/>
        <w:tabs>
          <w:tab w:leader="none" w:pos="458" w:val="left"/>
        </w:tabs>
        <w:numPr>
          <w:ilvl w:val="0"/>
          <w:numId w:val="2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As infracções previstas no artigo 22, para a actividade de normalização e avaliação da conformidade, têm a seguinte graduação:</w:t>
      </w:r>
    </w:p>
    <w:p>
      <w:pPr>
        <w:spacing w:after="0" w:line="60"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a</w:t>
      </w:r>
      <w:r>
        <w:rPr>
          <w:rFonts w:ascii="Times New Roman" w:cs="Times New Roman" w:eastAsia="Times New Roman" w:hAnsi="Times New Roman"/>
          <w:sz w:val="20"/>
          <w:szCs w:val="20"/>
          <w:color w:val="auto"/>
        </w:rPr>
        <w:t>) multa correspondente a 50 salários mínimos em caso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 xml:space="preserve">de violação ao disposto nas alíneas </w:t>
      </w:r>
      <w:r>
        <w:rPr>
          <w:rFonts w:ascii="Times New Roman" w:cs="Times New Roman" w:eastAsia="Times New Roman" w:hAnsi="Times New Roman"/>
          <w:sz w:val="20"/>
          <w:szCs w:val="20"/>
          <w:i w:val="1"/>
          <w:iCs w:val="1"/>
          <w:color w:val="auto"/>
        </w:rPr>
        <w:t>a</w:t>
      </w:r>
      <w:r>
        <w:rPr>
          <w:rFonts w:ascii="Times New Roman" w:cs="Times New Roman" w:eastAsia="Times New Roman" w:hAnsi="Times New Roman"/>
          <w:sz w:val="20"/>
          <w:szCs w:val="20"/>
          <w:color w:val="auto"/>
        </w:rPr>
        <w:t xml:space="preserve">), </w:t>
      </w:r>
      <w:r>
        <w:rPr>
          <w:rFonts w:ascii="Times New Roman" w:cs="Times New Roman" w:eastAsia="Times New Roman" w:hAnsi="Times New Roman"/>
          <w:sz w:val="20"/>
          <w:szCs w:val="20"/>
          <w:i w:val="1"/>
          <w:iCs w:val="1"/>
          <w:color w:val="auto"/>
        </w:rPr>
        <w:t>b</w:t>
      </w:r>
      <w:r>
        <w:rPr>
          <w:rFonts w:ascii="Times New Roman" w:cs="Times New Roman" w:eastAsia="Times New Roman" w:hAnsi="Times New Roman"/>
          <w:sz w:val="20"/>
          <w:szCs w:val="20"/>
          <w:color w:val="auto"/>
        </w:rPr>
        <w:t xml:space="preserve">), </w:t>
      </w:r>
      <w:r>
        <w:rPr>
          <w:rFonts w:ascii="Times New Roman" w:cs="Times New Roman" w:eastAsia="Times New Roman" w:hAnsi="Times New Roman"/>
          <w:sz w:val="20"/>
          <w:szCs w:val="20"/>
          <w:i w:val="1"/>
          <w:iCs w:val="1"/>
          <w:color w:val="auto"/>
        </w:rPr>
        <w:t>c</w:t>
      </w:r>
      <w:r>
        <w:rPr>
          <w:rFonts w:ascii="Times New Roman" w:cs="Times New Roman" w:eastAsia="Times New Roman" w:hAnsi="Times New Roman"/>
          <w:sz w:val="20"/>
          <w:szCs w:val="20"/>
          <w:color w:val="auto"/>
        </w:rPr>
        <w:t xml:space="preserve">) e </w:t>
      </w:r>
      <w:r>
        <w:rPr>
          <w:rFonts w:ascii="Times New Roman" w:cs="Times New Roman" w:eastAsia="Times New Roman" w:hAnsi="Times New Roman"/>
          <w:sz w:val="20"/>
          <w:szCs w:val="20"/>
          <w:i w:val="1"/>
          <w:iCs w:val="1"/>
          <w:color w:val="auto"/>
        </w:rPr>
        <w:t>d</w:t>
      </w:r>
      <w:r>
        <w:rPr>
          <w:rFonts w:ascii="Times New Roman" w:cs="Times New Roman" w:eastAsia="Times New Roman" w:hAnsi="Times New Roman"/>
          <w:sz w:val="20"/>
          <w:szCs w:val="20"/>
          <w:color w:val="auto"/>
        </w:rPr>
        <w:t>);</w:t>
      </w:r>
    </w:p>
    <w:p>
      <w:pPr>
        <w:spacing w:after="0" w:line="2"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b</w:t>
      </w:r>
      <w:r>
        <w:rPr>
          <w:rFonts w:ascii="Times New Roman" w:cs="Times New Roman" w:eastAsia="Times New Roman" w:hAnsi="Times New Roman"/>
          <w:sz w:val="20"/>
          <w:szCs w:val="20"/>
          <w:color w:val="auto"/>
        </w:rPr>
        <w:t>) multa correspondente a 75 salários mínimos em caso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 xml:space="preserve">de violação ao disposto na alínea </w:t>
      </w:r>
      <w:r>
        <w:rPr>
          <w:rFonts w:ascii="Times New Roman" w:cs="Times New Roman" w:eastAsia="Times New Roman" w:hAnsi="Times New Roman"/>
          <w:sz w:val="20"/>
          <w:szCs w:val="20"/>
          <w:i w:val="1"/>
          <w:iCs w:val="1"/>
          <w:color w:val="auto"/>
        </w:rPr>
        <w:t>e</w:t>
      </w:r>
      <w:r>
        <w:rPr>
          <w:rFonts w:ascii="Times New Roman" w:cs="Times New Roman" w:eastAsia="Times New Roman" w:hAnsi="Times New Roman"/>
          <w:sz w:val="20"/>
          <w:szCs w:val="20"/>
          <w:color w:val="auto"/>
        </w:rPr>
        <w:t>);</w:t>
      </w:r>
    </w:p>
    <w:p>
      <w:pPr>
        <w:spacing w:after="0" w:line="2"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c</w:t>
      </w:r>
      <w:r>
        <w:rPr>
          <w:rFonts w:ascii="Times New Roman" w:cs="Times New Roman" w:eastAsia="Times New Roman" w:hAnsi="Times New Roman"/>
          <w:sz w:val="20"/>
          <w:szCs w:val="20"/>
          <w:color w:val="auto"/>
        </w:rPr>
        <w:t>) multa correspondente a 100 salários mínimos em caso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 xml:space="preserve">de violação ao disposto nas alíneas </w:t>
      </w:r>
      <w:r>
        <w:rPr>
          <w:rFonts w:ascii="Times New Roman" w:cs="Times New Roman" w:eastAsia="Times New Roman" w:hAnsi="Times New Roman"/>
          <w:sz w:val="20"/>
          <w:szCs w:val="20"/>
          <w:i w:val="1"/>
          <w:iCs w:val="1"/>
          <w:color w:val="auto"/>
        </w:rPr>
        <w:t>f</w:t>
      </w:r>
      <w:r>
        <w:rPr>
          <w:rFonts w:ascii="Times New Roman" w:cs="Times New Roman" w:eastAsia="Times New Roman" w:hAnsi="Times New Roman"/>
          <w:sz w:val="20"/>
          <w:szCs w:val="20"/>
          <w:color w:val="auto"/>
        </w:rPr>
        <w:t xml:space="preserve">) e </w:t>
      </w:r>
      <w:r>
        <w:rPr>
          <w:rFonts w:ascii="Times New Roman" w:cs="Times New Roman" w:eastAsia="Times New Roman" w:hAnsi="Times New Roman"/>
          <w:sz w:val="20"/>
          <w:szCs w:val="20"/>
          <w:i w:val="1"/>
          <w:iCs w:val="1"/>
          <w:color w:val="auto"/>
        </w:rPr>
        <w:t>g</w:t>
      </w:r>
      <w:r>
        <w:rPr>
          <w:rFonts w:ascii="Times New Roman" w:cs="Times New Roman" w:eastAsia="Times New Roman" w:hAnsi="Times New Roman"/>
          <w:sz w:val="20"/>
          <w:szCs w:val="20"/>
          <w:color w:val="auto"/>
        </w:rPr>
        <w:t>);</w:t>
      </w:r>
    </w:p>
    <w:p>
      <w:pPr>
        <w:spacing w:after="0" w:line="2"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d</w:t>
      </w:r>
      <w:r>
        <w:rPr>
          <w:rFonts w:ascii="Times New Roman" w:cs="Times New Roman" w:eastAsia="Times New Roman" w:hAnsi="Times New Roman"/>
          <w:sz w:val="20"/>
          <w:szCs w:val="20"/>
          <w:color w:val="auto"/>
        </w:rPr>
        <w:t>) multa correspondente a 200 salários mínimos em caso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 xml:space="preserve">de violação ao disposto na alínea </w:t>
      </w:r>
      <w:r>
        <w:rPr>
          <w:rFonts w:ascii="Times New Roman" w:cs="Times New Roman" w:eastAsia="Times New Roman" w:hAnsi="Times New Roman"/>
          <w:sz w:val="20"/>
          <w:szCs w:val="20"/>
          <w:i w:val="1"/>
          <w:iCs w:val="1"/>
          <w:color w:val="auto"/>
        </w:rPr>
        <w:t>h</w:t>
      </w:r>
      <w:r>
        <w:rPr>
          <w:rFonts w:ascii="Times New Roman" w:cs="Times New Roman" w:eastAsia="Times New Roman" w:hAnsi="Times New Roman"/>
          <w:sz w:val="20"/>
          <w:szCs w:val="20"/>
          <w:color w:val="auto"/>
        </w:rPr>
        <w:t>);</w:t>
      </w:r>
    </w:p>
    <w:p>
      <w:pPr>
        <w:spacing w:after="0" w:line="2"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e</w:t>
      </w:r>
      <w:r>
        <w:rPr>
          <w:rFonts w:ascii="Times New Roman" w:cs="Times New Roman" w:eastAsia="Times New Roman" w:hAnsi="Times New Roman"/>
          <w:sz w:val="20"/>
          <w:szCs w:val="20"/>
          <w:color w:val="auto"/>
        </w:rPr>
        <w:t>) multa correspondente a 50 salários mínimos em caso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 xml:space="preserve">de violação ao disposto na alínea </w:t>
      </w:r>
      <w:r>
        <w:rPr>
          <w:rFonts w:ascii="Times New Roman" w:cs="Times New Roman" w:eastAsia="Times New Roman" w:hAnsi="Times New Roman"/>
          <w:sz w:val="20"/>
          <w:szCs w:val="20"/>
          <w:i w:val="1"/>
          <w:iCs w:val="1"/>
          <w:color w:val="auto"/>
        </w:rPr>
        <w:t>i</w:t>
      </w:r>
      <w:r>
        <w:rPr>
          <w:rFonts w:ascii="Times New Roman" w:cs="Times New Roman" w:eastAsia="Times New Roman" w:hAnsi="Times New Roman"/>
          <w:sz w:val="20"/>
          <w:szCs w:val="20"/>
          <w:color w:val="auto"/>
        </w:rPr>
        <w:t>);</w:t>
      </w:r>
    </w:p>
    <w:p>
      <w:pPr>
        <w:spacing w:after="0" w:line="2"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f</w:t>
      </w:r>
      <w:r>
        <w:rPr>
          <w:rFonts w:ascii="Times New Roman" w:cs="Times New Roman" w:eastAsia="Times New Roman" w:hAnsi="Times New Roman"/>
          <w:sz w:val="20"/>
          <w:szCs w:val="20"/>
          <w:color w:val="auto"/>
        </w:rPr>
        <w:t>) multa de 250 salários mínimos, apreensão e destruição</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 xml:space="preserve">do produto em caso de violação ao disposto nos incisos </w:t>
      </w:r>
      <w:r>
        <w:rPr>
          <w:rFonts w:ascii="Times New Roman" w:cs="Times New Roman" w:eastAsia="Times New Roman" w:hAnsi="Times New Roman"/>
          <w:sz w:val="20"/>
          <w:szCs w:val="20"/>
          <w:i w:val="1"/>
          <w:iCs w:val="1"/>
          <w:color w:val="auto"/>
        </w:rPr>
        <w:t>i</w:t>
      </w:r>
      <w:r>
        <w:rPr>
          <w:rFonts w:ascii="Times New Roman" w:cs="Times New Roman" w:eastAsia="Times New Roman" w:hAnsi="Times New Roman"/>
          <w:sz w:val="20"/>
          <w:szCs w:val="20"/>
          <w:color w:val="auto"/>
        </w:rPr>
        <w:t xml:space="preserve">) e </w:t>
      </w:r>
      <w:r>
        <w:rPr>
          <w:rFonts w:ascii="Times New Roman" w:cs="Times New Roman" w:eastAsia="Times New Roman" w:hAnsi="Times New Roman"/>
          <w:sz w:val="20"/>
          <w:szCs w:val="20"/>
          <w:i w:val="1"/>
          <w:iCs w:val="1"/>
          <w:color w:val="auto"/>
        </w:rPr>
        <w:t>iv</w:t>
      </w:r>
      <w:r>
        <w:rPr>
          <w:rFonts w:ascii="Times New Roman" w:cs="Times New Roman" w:eastAsia="Times New Roman" w:hAnsi="Times New Roman"/>
          <w:sz w:val="20"/>
          <w:szCs w:val="20"/>
          <w:color w:val="auto"/>
        </w:rPr>
        <w:t xml:space="preserve">) da alínea </w:t>
      </w:r>
      <w:r>
        <w:rPr>
          <w:rFonts w:ascii="Times New Roman" w:cs="Times New Roman" w:eastAsia="Times New Roman" w:hAnsi="Times New Roman"/>
          <w:sz w:val="20"/>
          <w:szCs w:val="20"/>
          <w:i w:val="1"/>
          <w:iCs w:val="1"/>
          <w:color w:val="auto"/>
        </w:rPr>
        <w:t>j</w:t>
      </w:r>
      <w:r>
        <w:rPr>
          <w:rFonts w:ascii="Times New Roman" w:cs="Times New Roman" w:eastAsia="Times New Roman" w:hAnsi="Times New Roman"/>
          <w:sz w:val="20"/>
          <w:szCs w:val="20"/>
          <w:color w:val="auto"/>
        </w:rPr>
        <w:t>);</w:t>
      </w:r>
    </w:p>
    <w:p>
      <w:pPr>
        <w:spacing w:after="0" w:line="3" w:lineRule="exact"/>
        <w:rPr>
          <w:sz w:val="20"/>
          <w:szCs w:val="20"/>
          <w:color w:val="auto"/>
        </w:rPr>
      </w:pPr>
    </w:p>
    <w:p>
      <w:pPr>
        <w:jc w:val="both"/>
        <w:ind w:left="860" w:right="20" w:hanging="396"/>
        <w:spacing w:after="0" w:line="239" w:lineRule="auto"/>
        <w:rPr>
          <w:sz w:val="20"/>
          <w:szCs w:val="20"/>
          <w:color w:val="auto"/>
        </w:rPr>
      </w:pPr>
      <w:r>
        <w:rPr>
          <w:rFonts w:ascii="Times New Roman" w:cs="Times New Roman" w:eastAsia="Times New Roman" w:hAnsi="Times New Roman"/>
          <w:sz w:val="20"/>
          <w:szCs w:val="20"/>
          <w:i w:val="1"/>
          <w:iCs w:val="1"/>
          <w:color w:val="auto"/>
        </w:rPr>
        <w:t>g</w:t>
      </w:r>
      <w:r>
        <w:rPr>
          <w:rFonts w:ascii="Times New Roman" w:cs="Times New Roman" w:eastAsia="Times New Roman" w:hAnsi="Times New Roman"/>
          <w:sz w:val="20"/>
          <w:szCs w:val="20"/>
          <w:color w:val="auto"/>
        </w:rPr>
        <w:t>) multa de 200 salários mínimos e pagamento dos encargos</w:t>
      </w:r>
      <w:r>
        <w:rPr>
          <w:rFonts w:ascii="Times New Roman" w:cs="Times New Roman" w:eastAsia="Times New Roman" w:hAnsi="Times New Roman"/>
          <w:sz w:val="20"/>
          <w:szCs w:val="20"/>
          <w:i w:val="1"/>
          <w:iCs w:val="1"/>
          <w:color w:val="auto"/>
        </w:rPr>
        <w:t xml:space="preserve"> </w:t>
      </w:r>
      <w:r>
        <w:rPr>
          <w:rFonts w:ascii="Times New Roman" w:cs="Times New Roman" w:eastAsia="Times New Roman" w:hAnsi="Times New Roman"/>
          <w:sz w:val="20"/>
          <w:szCs w:val="20"/>
          <w:color w:val="auto"/>
        </w:rPr>
        <w:t xml:space="preserve">da reavaliação em caso de violação ao disposto nos incisos </w:t>
      </w:r>
      <w:r>
        <w:rPr>
          <w:rFonts w:ascii="Times New Roman" w:cs="Times New Roman" w:eastAsia="Times New Roman" w:hAnsi="Times New Roman"/>
          <w:sz w:val="20"/>
          <w:szCs w:val="20"/>
          <w:i w:val="1"/>
          <w:iCs w:val="1"/>
          <w:color w:val="auto"/>
        </w:rPr>
        <w:t>ii</w:t>
      </w:r>
      <w:r>
        <w:rPr>
          <w:rFonts w:ascii="Times New Roman" w:cs="Times New Roman" w:eastAsia="Times New Roman" w:hAnsi="Times New Roman"/>
          <w:sz w:val="20"/>
          <w:szCs w:val="20"/>
          <w:color w:val="auto"/>
        </w:rPr>
        <w:t xml:space="preserve">), </w:t>
      </w:r>
      <w:r>
        <w:rPr>
          <w:rFonts w:ascii="Times New Roman" w:cs="Times New Roman" w:eastAsia="Times New Roman" w:hAnsi="Times New Roman"/>
          <w:sz w:val="20"/>
          <w:szCs w:val="20"/>
          <w:i w:val="1"/>
          <w:iCs w:val="1"/>
          <w:color w:val="auto"/>
        </w:rPr>
        <w:t>iii</w:t>
      </w:r>
      <w:r>
        <w:rPr>
          <w:rFonts w:ascii="Times New Roman" w:cs="Times New Roman" w:eastAsia="Times New Roman" w:hAnsi="Times New Roman"/>
          <w:sz w:val="20"/>
          <w:szCs w:val="20"/>
          <w:color w:val="auto"/>
        </w:rPr>
        <w:t xml:space="preserve">) e </w:t>
      </w:r>
      <w:r>
        <w:rPr>
          <w:rFonts w:ascii="Times New Roman" w:cs="Times New Roman" w:eastAsia="Times New Roman" w:hAnsi="Times New Roman"/>
          <w:sz w:val="20"/>
          <w:szCs w:val="20"/>
          <w:i w:val="1"/>
          <w:iCs w:val="1"/>
          <w:color w:val="auto"/>
        </w:rPr>
        <w:t>v</w:t>
      </w:r>
      <w:r>
        <w:rPr>
          <w:rFonts w:ascii="Times New Roman" w:cs="Times New Roman" w:eastAsia="Times New Roman" w:hAnsi="Times New Roman"/>
          <w:sz w:val="20"/>
          <w:szCs w:val="20"/>
          <w:color w:val="auto"/>
        </w:rPr>
        <w:t xml:space="preserve">) da alínea </w:t>
      </w:r>
      <w:r>
        <w:rPr>
          <w:rFonts w:ascii="Times New Roman" w:cs="Times New Roman" w:eastAsia="Times New Roman" w:hAnsi="Times New Roman"/>
          <w:sz w:val="20"/>
          <w:szCs w:val="20"/>
          <w:i w:val="1"/>
          <w:iCs w:val="1"/>
          <w:color w:val="auto"/>
        </w:rPr>
        <w:t>j</w:t>
      </w:r>
      <w:r>
        <w:rPr>
          <w:rFonts w:ascii="Times New Roman" w:cs="Times New Roman" w:eastAsia="Times New Roman" w:hAnsi="Times New Roman"/>
          <w:sz w:val="20"/>
          <w:szCs w:val="20"/>
          <w:color w:val="auto"/>
        </w:rPr>
        <w:t>).</w:t>
      </w:r>
    </w:p>
    <w:p>
      <w:pPr>
        <w:spacing w:after="0" w:line="60" w:lineRule="exact"/>
        <w:rPr>
          <w:sz w:val="20"/>
          <w:szCs w:val="20"/>
          <w:color w:val="auto"/>
        </w:rPr>
      </w:pPr>
    </w:p>
    <w:p>
      <w:pPr>
        <w:jc w:val="both"/>
        <w:ind w:firstLine="226"/>
        <w:spacing w:after="0" w:line="252" w:lineRule="auto"/>
        <w:tabs>
          <w:tab w:leader="none" w:pos="421" w:val="left"/>
        </w:tabs>
        <w:numPr>
          <w:ilvl w:val="0"/>
          <w:numId w:val="29"/>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color w:val="auto"/>
        </w:rPr>
        <w:t>Para efeitos do presente Regulamento, considera-se salário mínimo a remuneração mínima do respectivo sector de actividade.</w:t>
      </w:r>
    </w:p>
    <w:p>
      <w:pPr>
        <w:spacing w:after="0" w:line="1" w:lineRule="exact"/>
        <w:rPr>
          <w:rFonts w:ascii="Times New Roman" w:cs="Times New Roman" w:eastAsia="Times New Roman" w:hAnsi="Times New Roman"/>
          <w:sz w:val="19"/>
          <w:szCs w:val="19"/>
          <w:color w:val="auto"/>
        </w:rPr>
      </w:pPr>
    </w:p>
    <w:p>
      <w:pPr>
        <w:jc w:val="both"/>
        <w:ind w:right="20" w:firstLine="226"/>
        <w:spacing w:after="0" w:line="239" w:lineRule="auto"/>
        <w:tabs>
          <w:tab w:leader="none" w:pos="431" w:val="left"/>
        </w:tabs>
        <w:numPr>
          <w:ilvl w:val="0"/>
          <w:numId w:val="29"/>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Consoante a gravidade da infracção, podem ser aplicadas, cumulativamente, com multa, as sanções de suspensão, de </w:t>
      </w:r>
      <w:r>
        <w:rPr>
          <w:rFonts w:ascii="Arial" w:cs="Arial" w:eastAsia="Arial" w:hAnsi="Arial"/>
          <w:sz w:val="20"/>
          <w:szCs w:val="20"/>
          <w:color w:val="auto"/>
        </w:rPr>
        <w:t xml:space="preserve">revogação da licença e da retirada do Certificado de Avaliação </w:t>
      </w:r>
      <w:r>
        <w:rPr>
          <w:rFonts w:ascii="Times New Roman" w:cs="Times New Roman" w:eastAsia="Times New Roman" w:hAnsi="Times New Roman"/>
          <w:sz w:val="20"/>
          <w:szCs w:val="20"/>
          <w:color w:val="auto"/>
        </w:rPr>
        <w:t>da Conformidade.</w:t>
      </w:r>
    </w:p>
    <w:p>
      <w:pPr>
        <w:spacing w:after="0" w:line="58" w:lineRule="exact"/>
        <w:rPr>
          <w:sz w:val="20"/>
          <w:szCs w:val="20"/>
          <w:color w:val="auto"/>
        </w:rPr>
      </w:pPr>
    </w:p>
    <w:p>
      <w:pPr>
        <w:ind w:left="214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25</w:t>
      </w:r>
    </w:p>
    <w:p>
      <w:pPr>
        <w:spacing w:after="0" w:line="129" w:lineRule="exact"/>
        <w:rPr>
          <w:sz w:val="20"/>
          <w:szCs w:val="20"/>
          <w:color w:val="auto"/>
        </w:rPr>
      </w:pPr>
    </w:p>
    <w:p>
      <w:pPr>
        <w:ind w:left="2080"/>
        <w:spacing w:after="0"/>
        <w:rPr>
          <w:sz w:val="20"/>
          <w:szCs w:val="20"/>
          <w:color w:val="auto"/>
        </w:rPr>
      </w:pPr>
      <w:r>
        <w:rPr>
          <w:rFonts w:ascii="Arial" w:cs="Arial" w:eastAsia="Arial" w:hAnsi="Arial"/>
          <w:sz w:val="16"/>
          <w:szCs w:val="16"/>
          <w:b w:val="1"/>
          <w:bCs w:val="1"/>
          <w:color w:val="auto"/>
        </w:rPr>
        <w:t>(Apreensão)</w:t>
      </w:r>
    </w:p>
    <w:p>
      <w:pPr>
        <w:spacing w:after="0" w:line="134" w:lineRule="exact"/>
        <w:rPr>
          <w:sz w:val="20"/>
          <w:szCs w:val="20"/>
          <w:color w:val="auto"/>
        </w:rPr>
      </w:pPr>
    </w:p>
    <w:p>
      <w:pPr>
        <w:jc w:val="both"/>
        <w:ind w:firstLine="227"/>
        <w:spacing w:after="0" w:line="239" w:lineRule="auto"/>
        <w:tabs>
          <w:tab w:leader="none" w:pos="480" w:val="left"/>
        </w:tabs>
        <w:numPr>
          <w:ilvl w:val="0"/>
          <w:numId w:val="30"/>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Compete à entidade que superintende as áreas das actividades económicas apreender os produtos encontrados em</w:t>
      </w:r>
    </w:p>
    <w:p>
      <w:pPr>
        <w:spacing w:after="0" w:line="20" w:lineRule="exact"/>
        <w:rPr>
          <w:sz w:val="20"/>
          <w:szCs w:val="20"/>
          <w:color w:val="auto"/>
        </w:rPr>
      </w:pPr>
      <w:r>
        <w:rPr>
          <w:sz w:val="20"/>
          <w:szCs w:val="20"/>
          <w:color w:val="auto"/>
        </w:rPr>
        <w:br w:type="column"/>
      </w:r>
    </w:p>
    <w:p>
      <w:pPr>
        <w:spacing w:after="0" w:line="16" w:lineRule="exact"/>
        <w:rPr>
          <w:sz w:val="20"/>
          <w:szCs w:val="20"/>
          <w:color w:val="auto"/>
        </w:rPr>
      </w:pPr>
    </w:p>
    <w:p>
      <w:pPr>
        <w:ind w:right="20"/>
        <w:spacing w:after="0" w:line="239" w:lineRule="auto"/>
        <w:rPr>
          <w:sz w:val="20"/>
          <w:szCs w:val="20"/>
          <w:color w:val="auto"/>
        </w:rPr>
      </w:pPr>
      <w:r>
        <w:rPr>
          <w:rFonts w:ascii="Times New Roman" w:cs="Times New Roman" w:eastAsia="Times New Roman" w:hAnsi="Times New Roman"/>
          <w:sz w:val="20"/>
          <w:szCs w:val="20"/>
          <w:color w:val="auto"/>
        </w:rPr>
        <w:t xml:space="preserve">situações previstas nos incisos da alínea </w:t>
      </w:r>
      <w:r>
        <w:rPr>
          <w:rFonts w:ascii="Times New Roman" w:cs="Times New Roman" w:eastAsia="Times New Roman" w:hAnsi="Times New Roman"/>
          <w:sz w:val="20"/>
          <w:szCs w:val="20"/>
          <w:i w:val="1"/>
          <w:iCs w:val="1"/>
          <w:color w:val="auto"/>
        </w:rPr>
        <w:t>j</w:t>
      </w:r>
      <w:r>
        <w:rPr>
          <w:rFonts w:ascii="Times New Roman" w:cs="Times New Roman" w:eastAsia="Times New Roman" w:hAnsi="Times New Roman"/>
          <w:sz w:val="20"/>
          <w:szCs w:val="20"/>
          <w:color w:val="auto"/>
        </w:rPr>
        <w:t>) do artigo 22 do presente Regulamento.</w:t>
      </w:r>
    </w:p>
    <w:p>
      <w:pPr>
        <w:spacing w:after="0" w:line="2" w:lineRule="exact"/>
        <w:rPr>
          <w:sz w:val="20"/>
          <w:szCs w:val="20"/>
          <w:color w:val="auto"/>
        </w:rPr>
      </w:pPr>
    </w:p>
    <w:p>
      <w:pPr>
        <w:jc w:val="both"/>
        <w:ind w:right="20" w:firstLine="224"/>
        <w:spacing w:after="0" w:line="271" w:lineRule="auto"/>
        <w:tabs>
          <w:tab w:leader="none" w:pos="444" w:val="left"/>
        </w:tabs>
        <w:numPr>
          <w:ilvl w:val="0"/>
          <w:numId w:val="31"/>
        </w:numPr>
        <w:rPr>
          <w:rFonts w:ascii="Arial" w:cs="Arial" w:eastAsia="Arial" w:hAnsi="Arial"/>
          <w:sz w:val="18"/>
          <w:szCs w:val="18"/>
          <w:color w:val="auto"/>
        </w:rPr>
      </w:pPr>
      <w:r>
        <w:rPr>
          <w:rFonts w:ascii="Arial" w:cs="Arial" w:eastAsia="Arial" w:hAnsi="Arial"/>
          <w:sz w:val="18"/>
          <w:szCs w:val="18"/>
          <w:color w:val="auto"/>
        </w:rPr>
        <w:t xml:space="preserve">Os produtos apreendidos em caráter definitivo, por força </w:t>
      </w:r>
      <w:r>
        <w:rPr>
          <w:rFonts w:ascii="Times New Roman" w:cs="Times New Roman" w:eastAsia="Times New Roman" w:hAnsi="Times New Roman"/>
          <w:sz w:val="18"/>
          <w:szCs w:val="18"/>
          <w:color w:val="auto"/>
        </w:rPr>
        <w:t xml:space="preserve">da penalidade aplicada, de que já não caiba recurso na esfera administrativa, quando não devem ser destruídos, são doados a programas de amparo social desenvolvidos pelo Estado ou a instituições de educação ou assistência social reconhecidas como </w:t>
      </w:r>
      <w:r>
        <w:rPr>
          <w:rFonts w:ascii="Arial" w:cs="Arial" w:eastAsia="Arial" w:hAnsi="Arial"/>
          <w:sz w:val="18"/>
          <w:szCs w:val="18"/>
          <w:color w:val="auto"/>
        </w:rPr>
        <w:t>entidades beneficentes e é vedada a sua comercialização.</w:t>
      </w:r>
    </w:p>
    <w:p>
      <w:pPr>
        <w:spacing w:after="0" w:line="145"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26</w:t>
      </w:r>
    </w:p>
    <w:p>
      <w:pPr>
        <w:spacing w:after="0" w:line="129" w:lineRule="exact"/>
        <w:rPr>
          <w:sz w:val="20"/>
          <w:szCs w:val="20"/>
          <w:color w:val="auto"/>
        </w:rPr>
      </w:pPr>
    </w:p>
    <w:p>
      <w:pPr>
        <w:ind w:left="2000"/>
        <w:spacing w:after="0"/>
        <w:rPr>
          <w:sz w:val="20"/>
          <w:szCs w:val="20"/>
          <w:color w:val="auto"/>
        </w:rPr>
      </w:pPr>
      <w:r>
        <w:rPr>
          <w:rFonts w:ascii="Arial" w:cs="Arial" w:eastAsia="Arial" w:hAnsi="Arial"/>
          <w:sz w:val="16"/>
          <w:szCs w:val="16"/>
          <w:b w:val="1"/>
          <w:bCs w:val="1"/>
          <w:color w:val="auto"/>
        </w:rPr>
        <w:t>(Reincidência)</w:t>
      </w:r>
    </w:p>
    <w:p>
      <w:pPr>
        <w:spacing w:after="0" w:line="134" w:lineRule="exact"/>
        <w:rPr>
          <w:sz w:val="20"/>
          <w:szCs w:val="20"/>
          <w:color w:val="auto"/>
        </w:rPr>
      </w:pPr>
    </w:p>
    <w:p>
      <w:pPr>
        <w:jc w:val="both"/>
        <w:ind w:right="20" w:firstLine="224"/>
        <w:spacing w:after="0" w:line="239" w:lineRule="auto"/>
        <w:tabs>
          <w:tab w:leader="none" w:pos="413" w:val="left"/>
        </w:tabs>
        <w:numPr>
          <w:ilvl w:val="0"/>
          <w:numId w:val="32"/>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Há reincidência quando o agente, a quem tiver sido aplicada as sanções relativas às infracções mencionadas no artigo 22 do presente Regulamento, cometa outra idêntica.</w:t>
      </w:r>
    </w:p>
    <w:p>
      <w:pPr>
        <w:spacing w:after="0" w:line="2" w:lineRule="exact"/>
        <w:rPr>
          <w:rFonts w:ascii="Times New Roman" w:cs="Times New Roman" w:eastAsia="Times New Roman" w:hAnsi="Times New Roman"/>
          <w:sz w:val="20"/>
          <w:szCs w:val="20"/>
          <w:color w:val="auto"/>
        </w:rPr>
      </w:pPr>
    </w:p>
    <w:p>
      <w:pPr>
        <w:jc w:val="both"/>
        <w:ind w:right="20" w:firstLine="224"/>
        <w:spacing w:after="0" w:line="239" w:lineRule="auto"/>
        <w:tabs>
          <w:tab w:leader="none" w:pos="482" w:val="left"/>
        </w:tabs>
        <w:numPr>
          <w:ilvl w:val="0"/>
          <w:numId w:val="32"/>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A reincidência relativa às infracções mencionadas no artigo 22 do presente Regulamento, é sancionável elevando-se ao dobro os valores das multas estipuladas.</w:t>
      </w:r>
    </w:p>
    <w:p>
      <w:pPr>
        <w:spacing w:after="0" w:line="172"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27</w:t>
      </w:r>
    </w:p>
    <w:p>
      <w:pPr>
        <w:spacing w:after="0" w:line="129" w:lineRule="exact"/>
        <w:rPr>
          <w:sz w:val="20"/>
          <w:szCs w:val="20"/>
          <w:color w:val="auto"/>
        </w:rPr>
      </w:pPr>
    </w:p>
    <w:p>
      <w:pPr>
        <w:ind w:left="1620"/>
        <w:spacing w:after="0"/>
        <w:rPr>
          <w:sz w:val="20"/>
          <w:szCs w:val="20"/>
          <w:color w:val="auto"/>
        </w:rPr>
      </w:pPr>
      <w:r>
        <w:rPr>
          <w:rFonts w:ascii="Arial" w:cs="Arial" w:eastAsia="Arial" w:hAnsi="Arial"/>
          <w:sz w:val="16"/>
          <w:szCs w:val="16"/>
          <w:b w:val="1"/>
          <w:bCs w:val="1"/>
          <w:color w:val="auto"/>
        </w:rPr>
        <w:t>(Pagamento das multas)</w:t>
      </w:r>
    </w:p>
    <w:p>
      <w:pPr>
        <w:spacing w:after="0" w:line="134" w:lineRule="exact"/>
        <w:rPr>
          <w:sz w:val="20"/>
          <w:szCs w:val="20"/>
          <w:color w:val="auto"/>
        </w:rPr>
      </w:pPr>
    </w:p>
    <w:p>
      <w:pPr>
        <w:ind w:right="20" w:firstLine="224"/>
        <w:spacing w:after="0" w:line="239" w:lineRule="auto"/>
        <w:tabs>
          <w:tab w:leader="none" w:pos="438" w:val="left"/>
        </w:tabs>
        <w:numPr>
          <w:ilvl w:val="0"/>
          <w:numId w:val="33"/>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O prazo para pagamento voluntário da multa é de I5 dias </w:t>
      </w:r>
      <w:r>
        <w:rPr>
          <w:rFonts w:ascii="Arial" w:cs="Arial" w:eastAsia="Arial" w:hAnsi="Arial"/>
          <w:sz w:val="20"/>
          <w:szCs w:val="20"/>
          <w:color w:val="auto"/>
        </w:rPr>
        <w:t>a contar a partir da data da recepção da notificação.</w:t>
      </w:r>
    </w:p>
    <w:p>
      <w:pPr>
        <w:spacing w:after="0" w:line="1" w:lineRule="exact"/>
        <w:rPr>
          <w:rFonts w:ascii="Times New Roman" w:cs="Times New Roman" w:eastAsia="Times New Roman" w:hAnsi="Times New Roman"/>
          <w:sz w:val="20"/>
          <w:szCs w:val="20"/>
          <w:color w:val="auto"/>
        </w:rPr>
      </w:pPr>
    </w:p>
    <w:p>
      <w:pPr>
        <w:jc w:val="both"/>
        <w:ind w:right="20" w:firstLine="224"/>
        <w:spacing w:after="0" w:line="239" w:lineRule="auto"/>
        <w:tabs>
          <w:tab w:leader="none" w:pos="433" w:val="left"/>
        </w:tabs>
        <w:numPr>
          <w:ilvl w:val="0"/>
          <w:numId w:val="33"/>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O valor da multa passada pelo cometimento das infrações previstas no presente Regulamento, deve ser pago no domicílio </w:t>
      </w:r>
      <w:r>
        <w:rPr>
          <w:rFonts w:ascii="Arial" w:cs="Arial" w:eastAsia="Arial" w:hAnsi="Arial"/>
          <w:sz w:val="20"/>
          <w:szCs w:val="20"/>
          <w:color w:val="auto"/>
        </w:rPr>
        <w:t>da entidade fiscalizadora.</w:t>
      </w:r>
    </w:p>
    <w:p>
      <w:pPr>
        <w:spacing w:after="0" w:line="2" w:lineRule="exact"/>
        <w:rPr>
          <w:rFonts w:ascii="Times New Roman" w:cs="Times New Roman" w:eastAsia="Times New Roman" w:hAnsi="Times New Roman"/>
          <w:sz w:val="20"/>
          <w:szCs w:val="20"/>
          <w:color w:val="auto"/>
        </w:rPr>
      </w:pPr>
    </w:p>
    <w:p>
      <w:pPr>
        <w:jc w:val="both"/>
        <w:ind w:right="20" w:firstLine="224"/>
        <w:spacing w:after="0" w:line="239" w:lineRule="auto"/>
        <w:tabs>
          <w:tab w:leader="none" w:pos="420" w:val="left"/>
        </w:tabs>
        <w:numPr>
          <w:ilvl w:val="0"/>
          <w:numId w:val="33"/>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Na falta de pagamento voluntário da multa dentro do prazo previsto no n.º 1 do presente artigo, deve ser extraída, pela </w:t>
      </w:r>
      <w:r>
        <w:rPr>
          <w:rFonts w:ascii="Arial" w:cs="Arial" w:eastAsia="Arial" w:hAnsi="Arial"/>
          <w:sz w:val="20"/>
          <w:szCs w:val="20"/>
          <w:color w:val="auto"/>
        </w:rPr>
        <w:t xml:space="preserve">entidade que fiscaliza as actividades económicas, a respectiva </w:t>
      </w:r>
      <w:r>
        <w:rPr>
          <w:rFonts w:ascii="Times New Roman" w:cs="Times New Roman" w:eastAsia="Times New Roman" w:hAnsi="Times New Roman"/>
          <w:sz w:val="20"/>
          <w:szCs w:val="20"/>
          <w:color w:val="auto"/>
        </w:rPr>
        <w:t>certidão de relaxe e remetida ao Juízo Privativo das Execuções Fiscais.</w:t>
      </w:r>
    </w:p>
    <w:p>
      <w:pPr>
        <w:spacing w:after="0" w:line="173"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0"/>
          <w:szCs w:val="20"/>
          <w:color w:val="auto"/>
        </w:rPr>
        <w:t>A</w:t>
      </w:r>
      <w:r>
        <w:rPr>
          <w:rFonts w:ascii="Times New Roman" w:cs="Times New Roman" w:eastAsia="Times New Roman" w:hAnsi="Times New Roman"/>
          <w:sz w:val="14"/>
          <w:szCs w:val="14"/>
          <w:color w:val="auto"/>
        </w:rPr>
        <w:t>RTIGO</w:t>
      </w:r>
      <w:r>
        <w:rPr>
          <w:rFonts w:ascii="Times New Roman" w:cs="Times New Roman" w:eastAsia="Times New Roman" w:hAnsi="Times New Roman"/>
          <w:sz w:val="20"/>
          <w:szCs w:val="20"/>
          <w:color w:val="auto"/>
        </w:rPr>
        <w:t xml:space="preserve"> 28</w:t>
      </w:r>
    </w:p>
    <w:p>
      <w:pPr>
        <w:spacing w:after="0" w:line="129" w:lineRule="exact"/>
        <w:rPr>
          <w:sz w:val="20"/>
          <w:szCs w:val="20"/>
          <w:color w:val="auto"/>
        </w:rPr>
      </w:pPr>
    </w:p>
    <w:p>
      <w:pPr>
        <w:ind w:left="1760"/>
        <w:spacing w:after="0"/>
        <w:rPr>
          <w:sz w:val="20"/>
          <w:szCs w:val="20"/>
          <w:color w:val="auto"/>
        </w:rPr>
      </w:pPr>
      <w:r>
        <w:rPr>
          <w:rFonts w:ascii="Arial" w:cs="Arial" w:eastAsia="Arial" w:hAnsi="Arial"/>
          <w:sz w:val="16"/>
          <w:szCs w:val="16"/>
          <w:b w:val="1"/>
          <w:bCs w:val="1"/>
          <w:color w:val="auto"/>
        </w:rPr>
        <w:t>(Destino das multas)</w:t>
      </w:r>
    </w:p>
    <w:p>
      <w:pPr>
        <w:spacing w:after="0" w:line="134" w:lineRule="exact"/>
        <w:rPr>
          <w:sz w:val="20"/>
          <w:szCs w:val="20"/>
          <w:color w:val="auto"/>
        </w:rPr>
      </w:pPr>
    </w:p>
    <w:p>
      <w:pPr>
        <w:ind w:right="20" w:firstLine="227"/>
        <w:spacing w:after="0" w:line="263" w:lineRule="auto"/>
        <w:rPr>
          <w:sz w:val="20"/>
          <w:szCs w:val="20"/>
          <w:color w:val="auto"/>
        </w:rPr>
      </w:pPr>
      <w:r>
        <w:rPr>
          <w:rFonts w:ascii="Times New Roman" w:cs="Times New Roman" w:eastAsia="Times New Roman" w:hAnsi="Times New Roman"/>
          <w:sz w:val="19"/>
          <w:szCs w:val="19"/>
          <w:color w:val="auto"/>
        </w:rPr>
        <w:t xml:space="preserve">O produto das multas é repartido em 20 %, para o Orçamento </w:t>
      </w:r>
      <w:r>
        <w:rPr>
          <w:rFonts w:ascii="Arial" w:cs="Arial" w:eastAsia="Arial" w:hAnsi="Arial"/>
          <w:sz w:val="19"/>
          <w:szCs w:val="19"/>
          <w:color w:val="auto"/>
        </w:rPr>
        <w:t>do Estado e 80 %, para a entidade fiscalizadora.</w:t>
      </w:r>
    </w:p>
    <w:p>
      <w:pPr>
        <w:spacing w:after="0" w:line="200" w:lineRule="exact"/>
        <w:rPr>
          <w:sz w:val="20"/>
          <w:szCs w:val="20"/>
          <w:color w:val="auto"/>
        </w:rPr>
      </w:pPr>
    </w:p>
    <w:p>
      <w:pPr>
        <w:spacing w:after="0" w:line="318" w:lineRule="exact"/>
        <w:rPr>
          <w:sz w:val="20"/>
          <w:szCs w:val="20"/>
          <w:color w:val="auto"/>
        </w:rPr>
      </w:pPr>
    </w:p>
    <w:p>
      <w:pPr>
        <w:ind w:left="4420"/>
        <w:spacing w:after="0"/>
        <w:rPr>
          <w:sz w:val="20"/>
          <w:szCs w:val="20"/>
          <w:color w:val="auto"/>
        </w:rPr>
      </w:pPr>
      <w:r>
        <w:rPr>
          <w:rFonts w:ascii="Times New Roman" w:cs="Times New Roman" w:eastAsia="Times New Roman" w:hAnsi="Times New Roman"/>
          <w:sz w:val="20"/>
          <w:szCs w:val="20"/>
          <w:b w:val="1"/>
          <w:bCs w:val="1"/>
          <w:color w:val="auto"/>
        </w:rPr>
        <w:t>Anexo I</w:t>
      </w:r>
    </w:p>
    <w:p>
      <w:pPr>
        <w:spacing w:after="0" w:line="113"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20"/>
          <w:szCs w:val="20"/>
          <w:b w:val="1"/>
          <w:bCs w:val="1"/>
          <w:color w:val="auto"/>
        </w:rPr>
        <w:t>Glossário</w:t>
      </w:r>
    </w:p>
    <w:p>
      <w:pPr>
        <w:spacing w:after="0" w:line="109" w:lineRule="exact"/>
        <w:rPr>
          <w:sz w:val="20"/>
          <w:szCs w:val="20"/>
          <w:color w:val="auto"/>
        </w:rPr>
      </w:pPr>
    </w:p>
    <w:p>
      <w:pPr>
        <w:ind w:right="20" w:firstLine="227"/>
        <w:spacing w:after="0" w:line="234" w:lineRule="auto"/>
        <w:rPr>
          <w:sz w:val="20"/>
          <w:szCs w:val="20"/>
          <w:color w:val="auto"/>
        </w:rPr>
      </w:pPr>
      <w:r>
        <w:rPr>
          <w:rFonts w:ascii="Times New Roman" w:cs="Times New Roman" w:eastAsia="Times New Roman" w:hAnsi="Times New Roman"/>
          <w:sz w:val="20"/>
          <w:szCs w:val="20"/>
          <w:color w:val="auto"/>
        </w:rPr>
        <w:t>Para efeitos do disposto no presente Regulamento entende-se por:</w:t>
      </w:r>
    </w:p>
    <w:p>
      <w:pPr>
        <w:spacing w:after="0" w:line="43" w:lineRule="exact"/>
        <w:rPr>
          <w:sz w:val="20"/>
          <w:szCs w:val="20"/>
          <w:color w:val="auto"/>
        </w:rPr>
      </w:pPr>
    </w:p>
    <w:p>
      <w:pPr>
        <w:jc w:val="both"/>
        <w:ind w:left="680" w:right="20" w:hanging="229"/>
        <w:spacing w:after="0" w:line="229" w:lineRule="auto"/>
        <w:tabs>
          <w:tab w:leader="none" w:pos="690" w:val="left"/>
        </w:tabs>
        <w:numPr>
          <w:ilvl w:val="0"/>
          <w:numId w:val="34"/>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Acreditação</w:t>
      </w:r>
      <w:r>
        <w:rPr>
          <w:rFonts w:ascii="Times New Roman" w:cs="Times New Roman" w:eastAsia="Times New Roman" w:hAnsi="Times New Roman"/>
          <w:sz w:val="20"/>
          <w:szCs w:val="20"/>
          <w:color w:val="auto"/>
        </w:rPr>
        <w:t>: avaliação realizada por terceira parte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relativa a um organismo de avaliação da conformidade, exprimindo demonstração formal de sua competência para realizar tarefas específicas de avaliação da conformidade.</w:t>
      </w:r>
    </w:p>
    <w:p>
      <w:pPr>
        <w:spacing w:after="0" w:line="2" w:lineRule="exact"/>
        <w:rPr>
          <w:rFonts w:ascii="Times New Roman" w:cs="Times New Roman" w:eastAsia="Times New Roman" w:hAnsi="Times New Roman"/>
          <w:sz w:val="20"/>
          <w:szCs w:val="20"/>
          <w:color w:val="auto"/>
        </w:rPr>
      </w:pPr>
    </w:p>
    <w:p>
      <w:pPr>
        <w:jc w:val="both"/>
        <w:ind w:left="680" w:hanging="229"/>
        <w:spacing w:after="0" w:line="229" w:lineRule="auto"/>
        <w:tabs>
          <w:tab w:leader="none" w:pos="697" w:val="left"/>
        </w:tabs>
        <w:numPr>
          <w:ilvl w:val="0"/>
          <w:numId w:val="34"/>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Análise de documento normativo</w:t>
      </w:r>
      <w:r>
        <w:rPr>
          <w:rFonts w:ascii="Times New Roman" w:cs="Times New Roman" w:eastAsia="Times New Roman" w:hAnsi="Times New Roman"/>
          <w:sz w:val="20"/>
          <w:szCs w:val="20"/>
          <w:color w:val="auto"/>
        </w:rPr>
        <w:t>: actividade de</w:t>
      </w:r>
      <w:r>
        <w:rPr>
          <w:rFonts w:ascii="Times New Roman" w:cs="Times New Roman" w:eastAsia="Times New Roman" w:hAnsi="Times New Roman"/>
          <w:sz w:val="20"/>
          <w:szCs w:val="20"/>
          <w:b w:val="1"/>
          <w:bCs w:val="1"/>
          <w:color w:val="auto"/>
        </w:rPr>
        <w:t xml:space="preserve"> </w:t>
      </w:r>
      <w:r>
        <w:rPr>
          <w:rFonts w:ascii="Arial" w:cs="Arial" w:eastAsia="Arial" w:hAnsi="Arial"/>
          <w:sz w:val="20"/>
          <w:szCs w:val="20"/>
          <w:color w:val="auto"/>
        </w:rPr>
        <w:t xml:space="preserve">verificar um documento normativo para determinar se o mesmo necessita de ser reconfirmado, modificado </w:t>
      </w:r>
      <w:r>
        <w:rPr>
          <w:rFonts w:ascii="Times New Roman" w:cs="Times New Roman" w:eastAsia="Times New Roman" w:hAnsi="Times New Roman"/>
          <w:sz w:val="20"/>
          <w:szCs w:val="20"/>
          <w:color w:val="auto"/>
        </w:rPr>
        <w:t>ou anulado.</w:t>
      </w:r>
    </w:p>
    <w:p>
      <w:pPr>
        <w:jc w:val="both"/>
        <w:ind w:left="680" w:right="20" w:hanging="229"/>
        <w:spacing w:after="0" w:line="229" w:lineRule="auto"/>
        <w:tabs>
          <w:tab w:leader="none" w:pos="704" w:val="left"/>
        </w:tabs>
        <w:numPr>
          <w:ilvl w:val="0"/>
          <w:numId w:val="34"/>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Auditoria</w:t>
      </w:r>
      <w:r>
        <w:rPr>
          <w:rFonts w:ascii="Times New Roman" w:cs="Times New Roman" w:eastAsia="Times New Roman" w:hAnsi="Times New Roman"/>
          <w:sz w:val="20"/>
          <w:szCs w:val="20"/>
          <w:color w:val="auto"/>
        </w:rPr>
        <w:t>: processo sistemático, independente 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documentado para obter evidência objectiva e avaliá-la para determinar a extensão na qual os critérios da auditoria são atendidos.</w:t>
      </w:r>
    </w:p>
    <w:p>
      <w:pPr>
        <w:spacing w:after="0" w:line="2" w:lineRule="exact"/>
        <w:rPr>
          <w:rFonts w:ascii="Times New Roman" w:cs="Times New Roman" w:eastAsia="Times New Roman" w:hAnsi="Times New Roman"/>
          <w:sz w:val="20"/>
          <w:szCs w:val="20"/>
          <w:color w:val="auto"/>
        </w:rPr>
      </w:pPr>
    </w:p>
    <w:p>
      <w:pPr>
        <w:jc w:val="both"/>
        <w:ind w:left="680" w:right="20" w:hanging="230"/>
        <w:spacing w:after="0" w:line="229" w:lineRule="auto"/>
        <w:tabs>
          <w:tab w:leader="none" w:pos="663" w:val="left"/>
        </w:tabs>
        <w:numPr>
          <w:ilvl w:val="0"/>
          <w:numId w:val="34"/>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Avaliação da conformidade</w:t>
      </w:r>
      <w:r>
        <w:rPr>
          <w:rFonts w:ascii="Times New Roman" w:cs="Times New Roman" w:eastAsia="Times New Roman" w:hAnsi="Times New Roman"/>
          <w:sz w:val="20"/>
          <w:szCs w:val="20"/>
          <w:color w:val="auto"/>
        </w:rPr>
        <w:t>: demonstração de que os</w:t>
      </w:r>
      <w:r>
        <w:rPr>
          <w:rFonts w:ascii="Times New Roman" w:cs="Times New Roman" w:eastAsia="Times New Roman" w:hAnsi="Times New Roman"/>
          <w:sz w:val="20"/>
          <w:szCs w:val="20"/>
          <w:b w:val="1"/>
          <w:bCs w:val="1"/>
          <w:color w:val="auto"/>
        </w:rPr>
        <w:t xml:space="preserve"> </w:t>
      </w:r>
      <w:r>
        <w:rPr>
          <w:rFonts w:ascii="Arial" w:cs="Arial" w:eastAsia="Arial" w:hAnsi="Arial"/>
          <w:sz w:val="20"/>
          <w:szCs w:val="20"/>
          <w:color w:val="auto"/>
        </w:rPr>
        <w:t xml:space="preserve">requisitos especificados, em normas ou regulamentos </w:t>
      </w:r>
      <w:r>
        <w:rPr>
          <w:rFonts w:ascii="Times New Roman" w:cs="Times New Roman" w:eastAsia="Times New Roman" w:hAnsi="Times New Roman"/>
          <w:sz w:val="20"/>
          <w:szCs w:val="20"/>
          <w:color w:val="auto"/>
        </w:rPr>
        <w:t>técnicos, relativos a um produto, processo, sistema, pessoa ou organismo são atendidos.</w:t>
      </w:r>
    </w:p>
    <w:p>
      <w:pPr>
        <w:jc w:val="both"/>
        <w:ind w:left="680" w:right="20" w:hanging="230"/>
        <w:spacing w:after="0" w:line="233" w:lineRule="auto"/>
        <w:tabs>
          <w:tab w:leader="none" w:pos="641" w:val="left"/>
        </w:tabs>
        <w:numPr>
          <w:ilvl w:val="0"/>
          <w:numId w:val="34"/>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Características intrínsecas</w:t>
      </w:r>
      <w:r>
        <w:rPr>
          <w:rFonts w:ascii="Times New Roman" w:cs="Times New Roman" w:eastAsia="Times New Roman" w:hAnsi="Times New Roman"/>
          <w:sz w:val="20"/>
          <w:szCs w:val="20"/>
          <w:color w:val="auto"/>
        </w:rPr>
        <w:t>: são características internas</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dos objectos de avaliação da conformidade (ex.: propriedades químicas, microbiológicas, físicas, entre outras determinantes na qualidade).</w:t>
      </w:r>
    </w:p>
    <w:p>
      <w:pPr>
        <w:sectPr>
          <w:pgSz w:w="11900" w:h="16838" w:orient="portrait"/>
          <w:cols w:equalWidth="0" w:num="2">
            <w:col w:w="5100" w:space="360"/>
            <w:col w:w="5100"/>
          </w:cols>
          <w:pgMar w:left="680" w:top="803" w:right="666" w:bottom="88" w:gutter="0" w:footer="0" w:header="0"/>
          <w:type w:val="continuous"/>
        </w:sectPr>
      </w:pPr>
    </w:p>
    <w:bookmarkStart w:id="5" w:name="page6"/>
    <w:bookmarkEnd w:id="5"/>
    <w:p>
      <w:pPr>
        <w:spacing w:after="0"/>
        <w:tabs>
          <w:tab w:leader="none" w:pos="8440" w:val="left"/>
        </w:tabs>
        <w:rPr>
          <w:sz w:val="20"/>
          <w:szCs w:val="20"/>
          <w:color w:val="auto"/>
        </w:rPr>
      </w:pPr>
      <w:r>
        <w:rPr>
          <w:rFonts w:ascii="Times New Roman" w:cs="Times New Roman" w:eastAsia="Times New Roman" w:hAnsi="Times New Roman"/>
          <w:sz w:val="20"/>
          <w:szCs w:val="20"/>
          <w:color w:val="auto"/>
        </w:rPr>
        <w:t>350</w:t>
      </w:r>
      <w:r>
        <w:rPr>
          <w:sz w:val="20"/>
          <w:szCs w:val="20"/>
          <w:color w:val="auto"/>
        </w:rPr>
        <w:tab/>
      </w:r>
      <w:r>
        <w:rPr>
          <w:rFonts w:ascii="Times New Roman" w:cs="Times New Roman" w:eastAsia="Times New Roman" w:hAnsi="Times New Roman"/>
          <w:sz w:val="20"/>
          <w:szCs w:val="20"/>
          <w:i w:val="1"/>
          <w:iCs w:val="1"/>
          <w:color w:val="auto"/>
        </w:rPr>
        <w:t>I SÉRIE — NÚMERO 50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36830</wp:posOffset>
                </wp:positionV>
                <wp:extent cx="667575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7575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9pt" to="525.65pt,2.9pt" o:allowincell="f" strokecolor="#000000" strokeweight="0.5pt"/>
            </w:pict>
          </mc:Fallback>
        </mc:AlternateContent>
      </w:r>
    </w:p>
    <w:p>
      <w:pPr>
        <w:sectPr>
          <w:pgSz w:w="11900" w:h="16838" w:orient="portrait"/>
          <w:cols w:equalWidth="0" w:num="1">
            <w:col w:w="10540"/>
          </w:cols>
          <w:pgMar w:left="680" w:top="801" w:right="686" w:bottom="63" w:gutter="0" w:footer="0" w:header="0"/>
        </w:sectPr>
      </w:pPr>
    </w:p>
    <w:p>
      <w:pPr>
        <w:spacing w:after="0" w:line="284" w:lineRule="exact"/>
        <w:rPr>
          <w:sz w:val="20"/>
          <w:szCs w:val="20"/>
          <w:color w:val="auto"/>
        </w:rPr>
      </w:pPr>
    </w:p>
    <w:p>
      <w:pPr>
        <w:ind w:left="680" w:right="110" w:hanging="226"/>
        <w:spacing w:after="0" w:line="249" w:lineRule="auto"/>
        <w:tabs>
          <w:tab w:leader="none" w:pos="666" w:val="left"/>
        </w:tabs>
        <w:numPr>
          <w:ilvl w:val="0"/>
          <w:numId w:val="35"/>
        </w:numPr>
        <w:rPr>
          <w:rFonts w:ascii="Times New Roman" w:cs="Times New Roman" w:eastAsia="Times New Roman" w:hAnsi="Times New Roman"/>
          <w:sz w:val="20"/>
          <w:szCs w:val="20"/>
          <w:color w:val="auto"/>
        </w:rPr>
      </w:pPr>
      <w:r>
        <w:rPr>
          <w:rFonts w:ascii="Arial" w:cs="Arial" w:eastAsia="Arial" w:hAnsi="Arial"/>
          <w:sz w:val="20"/>
          <w:szCs w:val="20"/>
          <w:b w:val="1"/>
          <w:bCs w:val="1"/>
          <w:color w:val="auto"/>
        </w:rPr>
        <w:t>Certificação</w:t>
      </w:r>
      <w:r>
        <w:rPr>
          <w:rFonts w:ascii="Times New Roman" w:cs="Times New Roman" w:eastAsia="Times New Roman" w:hAnsi="Times New Roman"/>
          <w:sz w:val="20"/>
          <w:szCs w:val="20"/>
          <w:color w:val="auto"/>
        </w:rPr>
        <w:t>: avaliação relativa a produtos, processos,</w:t>
      </w:r>
      <w:r>
        <w:rPr>
          <w:rFonts w:ascii="Arial" w:cs="Arial" w:eastAsia="Arial" w:hAnsi="Arial"/>
          <w:sz w:val="20"/>
          <w:szCs w:val="20"/>
          <w:b w:val="1"/>
          <w:bCs w:val="1"/>
          <w:color w:val="auto"/>
        </w:rPr>
        <w:t xml:space="preserve"> </w:t>
      </w:r>
      <w:r>
        <w:rPr>
          <w:rFonts w:ascii="Times New Roman" w:cs="Times New Roman" w:eastAsia="Times New Roman" w:hAnsi="Times New Roman"/>
          <w:sz w:val="20"/>
          <w:szCs w:val="20"/>
          <w:color w:val="auto"/>
        </w:rPr>
        <w:t>sistemas ou pessoas feita por terceira parte.</w:t>
      </w:r>
    </w:p>
    <w:p>
      <w:pPr>
        <w:jc w:val="both"/>
        <w:ind w:left="680" w:right="90" w:hanging="226"/>
        <w:spacing w:after="0" w:line="262" w:lineRule="auto"/>
        <w:tabs>
          <w:tab w:leader="none" w:pos="660" w:val="left"/>
        </w:tabs>
        <w:numPr>
          <w:ilvl w:val="0"/>
          <w:numId w:val="35"/>
        </w:numPr>
        <w:rPr>
          <w:rFonts w:ascii="Times New Roman" w:cs="Times New Roman" w:eastAsia="Times New Roman" w:hAnsi="Times New Roman"/>
          <w:sz w:val="19"/>
          <w:szCs w:val="19"/>
          <w:color w:val="auto"/>
        </w:rPr>
      </w:pPr>
      <w:r>
        <w:rPr>
          <w:rFonts w:ascii="Arial" w:cs="Arial" w:eastAsia="Arial" w:hAnsi="Arial"/>
          <w:sz w:val="19"/>
          <w:szCs w:val="19"/>
          <w:b w:val="1"/>
          <w:bCs w:val="1"/>
          <w:color w:val="auto"/>
        </w:rPr>
        <w:t>Certificado de Conformidade</w:t>
      </w:r>
      <w:r>
        <w:rPr>
          <w:rFonts w:ascii="Times New Roman" w:cs="Times New Roman" w:eastAsia="Times New Roman" w:hAnsi="Times New Roman"/>
          <w:sz w:val="19"/>
          <w:szCs w:val="19"/>
          <w:color w:val="auto"/>
        </w:rPr>
        <w:t>: documento emitido de</w:t>
      </w:r>
      <w:r>
        <w:rPr>
          <w:rFonts w:ascii="Arial" w:cs="Arial" w:eastAsia="Arial" w:hAnsi="Arial"/>
          <w:sz w:val="19"/>
          <w:szCs w:val="19"/>
          <w:b w:val="1"/>
          <w:bCs w:val="1"/>
          <w:color w:val="auto"/>
        </w:rPr>
        <w:t xml:space="preserve"> </w:t>
      </w:r>
      <w:r>
        <w:rPr>
          <w:rFonts w:ascii="Times New Roman" w:cs="Times New Roman" w:eastAsia="Times New Roman" w:hAnsi="Times New Roman"/>
          <w:sz w:val="19"/>
          <w:szCs w:val="19"/>
          <w:color w:val="auto"/>
        </w:rPr>
        <w:t xml:space="preserve">acordo com as regras do subsistema de avaliação da </w:t>
      </w:r>
      <w:r>
        <w:rPr>
          <w:rFonts w:ascii="Arial" w:cs="Arial" w:eastAsia="Arial" w:hAnsi="Arial"/>
          <w:sz w:val="19"/>
          <w:szCs w:val="19"/>
          <w:color w:val="auto"/>
        </w:rPr>
        <w:t xml:space="preserve">conformidade, provendo confiança que um produto, processo ou serviço devidamente identificado estão em conformidade com os requisitos especificados em normas </w:t>
      </w:r>
      <w:r>
        <w:rPr>
          <w:rFonts w:ascii="Times New Roman" w:cs="Times New Roman" w:eastAsia="Times New Roman" w:hAnsi="Times New Roman"/>
          <w:sz w:val="19"/>
          <w:szCs w:val="19"/>
          <w:color w:val="auto"/>
        </w:rPr>
        <w:t>ou regulamentos técnicos.</w:t>
      </w:r>
    </w:p>
    <w:p>
      <w:pPr>
        <w:spacing w:after="0" w:line="5" w:lineRule="exact"/>
        <w:rPr>
          <w:rFonts w:ascii="Times New Roman" w:cs="Times New Roman" w:eastAsia="Times New Roman" w:hAnsi="Times New Roman"/>
          <w:sz w:val="19"/>
          <w:szCs w:val="19"/>
          <w:color w:val="auto"/>
        </w:rPr>
      </w:pPr>
    </w:p>
    <w:p>
      <w:pPr>
        <w:jc w:val="both"/>
        <w:ind w:left="680" w:right="110" w:hanging="226"/>
        <w:spacing w:after="0" w:line="250" w:lineRule="auto"/>
        <w:tabs>
          <w:tab w:leader="none" w:pos="638" w:val="left"/>
        </w:tabs>
        <w:numPr>
          <w:ilvl w:val="0"/>
          <w:numId w:val="3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Colocar um Produto em Circulação</w:t>
      </w:r>
      <w:r>
        <w:rPr>
          <w:rFonts w:ascii="Times New Roman" w:cs="Times New Roman" w:eastAsia="Times New Roman" w:hAnsi="Times New Roman"/>
          <w:sz w:val="20"/>
          <w:szCs w:val="20"/>
          <w:color w:val="auto"/>
        </w:rPr>
        <w:t>: vender, oferecer à</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venda ou entrar em qualquer outra transacção comercial ou industrial envolvendo um produto ou equipamento industrial, pela primeira vez.</w:t>
      </w:r>
    </w:p>
    <w:p>
      <w:pPr>
        <w:spacing w:after="0" w:line="1" w:lineRule="exact"/>
        <w:rPr>
          <w:rFonts w:ascii="Times New Roman" w:cs="Times New Roman" w:eastAsia="Times New Roman" w:hAnsi="Times New Roman"/>
          <w:sz w:val="20"/>
          <w:szCs w:val="20"/>
          <w:color w:val="auto"/>
        </w:rPr>
      </w:pPr>
    </w:p>
    <w:p>
      <w:pPr>
        <w:jc w:val="both"/>
        <w:ind w:left="680" w:right="110" w:hanging="226"/>
        <w:spacing w:after="0" w:line="248" w:lineRule="auto"/>
        <w:tabs>
          <w:tab w:leader="none" w:pos="645" w:val="left"/>
        </w:tabs>
        <w:numPr>
          <w:ilvl w:val="0"/>
          <w:numId w:val="3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Comissão Técnica de Normalização (CTN)</w:t>
      </w:r>
      <w:r>
        <w:rPr>
          <w:rFonts w:ascii="Times New Roman" w:cs="Times New Roman" w:eastAsia="Times New Roman" w:hAnsi="Times New Roman"/>
          <w:sz w:val="20"/>
          <w:szCs w:val="20"/>
          <w:color w:val="auto"/>
        </w:rPr>
        <w:t>: comissão</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com carácter permanente, responsável pela elaboração, revisão e correcção das NM de uma determinada área de actividade.</w:t>
      </w:r>
    </w:p>
    <w:p>
      <w:pPr>
        <w:spacing w:after="0" w:line="3" w:lineRule="exact"/>
        <w:rPr>
          <w:rFonts w:ascii="Times New Roman" w:cs="Times New Roman" w:eastAsia="Times New Roman" w:hAnsi="Times New Roman"/>
          <w:sz w:val="20"/>
          <w:szCs w:val="20"/>
          <w:color w:val="auto"/>
        </w:rPr>
      </w:pPr>
    </w:p>
    <w:p>
      <w:pPr>
        <w:jc w:val="both"/>
        <w:ind w:left="680" w:right="110" w:hanging="226"/>
        <w:spacing w:after="0" w:line="255" w:lineRule="auto"/>
        <w:tabs>
          <w:tab w:leader="none" w:pos="812" w:val="left"/>
        </w:tabs>
        <w:numPr>
          <w:ilvl w:val="0"/>
          <w:numId w:val="35"/>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b w:val="1"/>
          <w:bCs w:val="1"/>
          <w:color w:val="auto"/>
        </w:rPr>
        <w:t>Comissão Técnica de Normalização Sectorial (CTNS)</w:t>
      </w:r>
      <w:r>
        <w:rPr>
          <w:rFonts w:ascii="Times New Roman" w:cs="Times New Roman" w:eastAsia="Times New Roman" w:hAnsi="Times New Roman"/>
          <w:sz w:val="19"/>
          <w:szCs w:val="19"/>
          <w:color w:val="auto"/>
        </w:rPr>
        <w:t>: comissão com carácter permanente, responsável</w:t>
      </w:r>
      <w:r>
        <w:rPr>
          <w:rFonts w:ascii="Times New Roman" w:cs="Times New Roman" w:eastAsia="Times New Roman" w:hAnsi="Times New Roman"/>
          <w:sz w:val="19"/>
          <w:szCs w:val="19"/>
          <w:b w:val="1"/>
          <w:bCs w:val="1"/>
          <w:color w:val="auto"/>
        </w:rPr>
        <w:t xml:space="preserve"> </w:t>
      </w:r>
      <w:r>
        <w:rPr>
          <w:rFonts w:ascii="Arial" w:cs="Arial" w:eastAsia="Arial" w:hAnsi="Arial"/>
          <w:sz w:val="19"/>
          <w:szCs w:val="19"/>
          <w:color w:val="auto"/>
        </w:rPr>
        <w:t xml:space="preserve">pela planificação, coordenação, assistência e controlo de </w:t>
      </w:r>
      <w:r>
        <w:rPr>
          <w:rFonts w:ascii="Times New Roman" w:cs="Times New Roman" w:eastAsia="Times New Roman" w:hAnsi="Times New Roman"/>
          <w:sz w:val="19"/>
          <w:szCs w:val="19"/>
          <w:color w:val="auto"/>
        </w:rPr>
        <w:t>todo o trabalho de elaboração das NM de um determinado sector de actividade.</w:t>
      </w:r>
    </w:p>
    <w:p>
      <w:pPr>
        <w:spacing w:after="0" w:line="3" w:lineRule="exact"/>
        <w:rPr>
          <w:rFonts w:ascii="Times New Roman" w:cs="Times New Roman" w:eastAsia="Times New Roman" w:hAnsi="Times New Roman"/>
          <w:sz w:val="19"/>
          <w:szCs w:val="19"/>
          <w:color w:val="auto"/>
        </w:rPr>
      </w:pPr>
    </w:p>
    <w:p>
      <w:pPr>
        <w:ind w:left="680" w:right="90" w:hanging="226"/>
        <w:spacing w:after="0"/>
        <w:tabs>
          <w:tab w:leader="none" w:pos="733" w:val="left"/>
        </w:tabs>
        <w:numPr>
          <w:ilvl w:val="0"/>
          <w:numId w:val="3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Comprador</w:t>
      </w:r>
      <w:r>
        <w:rPr>
          <w:rFonts w:ascii="Times New Roman" w:cs="Times New Roman" w:eastAsia="Times New Roman" w:hAnsi="Times New Roman"/>
          <w:sz w:val="20"/>
          <w:szCs w:val="20"/>
          <w:color w:val="auto"/>
        </w:rPr>
        <w:t>: é toda pessoa física ou jurídica que adquire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ou utiliza produto ou serviço.</w:t>
      </w:r>
    </w:p>
    <w:p>
      <w:pPr>
        <w:jc w:val="both"/>
        <w:ind w:left="680" w:right="110" w:hanging="226"/>
        <w:spacing w:after="0" w:line="239" w:lineRule="auto"/>
        <w:tabs>
          <w:tab w:leader="none" w:pos="791" w:val="left"/>
        </w:tabs>
        <w:numPr>
          <w:ilvl w:val="0"/>
          <w:numId w:val="3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Consumidor</w:t>
      </w:r>
      <w:r>
        <w:rPr>
          <w:rFonts w:ascii="Times New Roman" w:cs="Times New Roman" w:eastAsia="Times New Roman" w:hAnsi="Times New Roman"/>
          <w:sz w:val="20"/>
          <w:szCs w:val="20"/>
          <w:color w:val="auto"/>
        </w:rPr>
        <w:t>: é toda pessoa física ou jurídica que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 xml:space="preserve">adquire ou utiliza produto ou serviço como destinatário </w:t>
      </w:r>
      <w:r>
        <w:rPr>
          <w:rFonts w:ascii="Arial" w:cs="Arial" w:eastAsia="Arial" w:hAnsi="Arial"/>
          <w:sz w:val="20"/>
          <w:szCs w:val="20"/>
          <w:color w:val="auto"/>
        </w:rPr>
        <w:t>final.</w:t>
      </w:r>
    </w:p>
    <w:p>
      <w:pPr>
        <w:spacing w:after="0" w:line="2" w:lineRule="exact"/>
        <w:rPr>
          <w:rFonts w:ascii="Times New Roman" w:cs="Times New Roman" w:eastAsia="Times New Roman" w:hAnsi="Times New Roman"/>
          <w:sz w:val="20"/>
          <w:szCs w:val="20"/>
          <w:color w:val="auto"/>
        </w:rPr>
      </w:pPr>
    </w:p>
    <w:p>
      <w:pPr>
        <w:jc w:val="both"/>
        <w:ind w:left="680" w:right="90" w:hanging="226"/>
        <w:spacing w:after="0" w:line="252" w:lineRule="auto"/>
        <w:tabs>
          <w:tab w:leader="none" w:pos="730" w:val="left"/>
        </w:tabs>
        <w:numPr>
          <w:ilvl w:val="0"/>
          <w:numId w:val="35"/>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b w:val="1"/>
          <w:bCs w:val="1"/>
          <w:color w:val="auto"/>
        </w:rPr>
        <w:t>Declaração de conformidade do fornecedor</w:t>
      </w:r>
      <w:r>
        <w:rPr>
          <w:rFonts w:ascii="Times New Roman" w:cs="Times New Roman" w:eastAsia="Times New Roman" w:hAnsi="Times New Roman"/>
          <w:sz w:val="19"/>
          <w:szCs w:val="19"/>
          <w:color w:val="auto"/>
        </w:rPr>
        <w:t>: avaliação</w:t>
      </w:r>
      <w:r>
        <w:rPr>
          <w:rFonts w:ascii="Times New Roman" w:cs="Times New Roman" w:eastAsia="Times New Roman" w:hAnsi="Times New Roman"/>
          <w:sz w:val="19"/>
          <w:szCs w:val="19"/>
          <w:b w:val="1"/>
          <w:bCs w:val="1"/>
          <w:color w:val="auto"/>
        </w:rPr>
        <w:t xml:space="preserve"> </w:t>
      </w:r>
      <w:r>
        <w:rPr>
          <w:rFonts w:ascii="Times New Roman" w:cs="Times New Roman" w:eastAsia="Times New Roman" w:hAnsi="Times New Roman"/>
          <w:sz w:val="19"/>
          <w:szCs w:val="19"/>
          <w:color w:val="auto"/>
        </w:rPr>
        <w:t xml:space="preserve">feita pelo fornecedor por primeira parte de que um produto, processo ou serviço atende aos requisitos </w:t>
      </w:r>
      <w:r>
        <w:rPr>
          <w:rFonts w:ascii="Arial" w:cs="Arial" w:eastAsia="Arial" w:hAnsi="Arial"/>
          <w:sz w:val="19"/>
          <w:szCs w:val="19"/>
          <w:color w:val="auto"/>
        </w:rPr>
        <w:t>especificados em norma ou regulamento técnico.</w:t>
      </w:r>
    </w:p>
    <w:p>
      <w:pPr>
        <w:spacing w:after="0" w:line="1" w:lineRule="exact"/>
        <w:rPr>
          <w:rFonts w:ascii="Times New Roman" w:cs="Times New Roman" w:eastAsia="Times New Roman" w:hAnsi="Times New Roman"/>
          <w:sz w:val="19"/>
          <w:szCs w:val="19"/>
          <w:color w:val="auto"/>
        </w:rPr>
      </w:pPr>
    </w:p>
    <w:p>
      <w:pPr>
        <w:jc w:val="both"/>
        <w:ind w:left="680" w:right="110" w:hanging="226"/>
        <w:spacing w:after="0" w:line="266" w:lineRule="auto"/>
        <w:tabs>
          <w:tab w:leader="none" w:pos="816" w:val="left"/>
        </w:tabs>
        <w:numPr>
          <w:ilvl w:val="0"/>
          <w:numId w:val="3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Designação</w:t>
      </w:r>
      <w:r>
        <w:rPr>
          <w:rFonts w:ascii="Times New Roman" w:cs="Times New Roman" w:eastAsia="Times New Roman" w:hAnsi="Times New Roman"/>
          <w:sz w:val="18"/>
          <w:szCs w:val="18"/>
          <w:color w:val="auto"/>
        </w:rPr>
        <w:t>: autorização governamental de um</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 xml:space="preserve">organismo de avaliação da conformidade para realizar </w:t>
      </w:r>
      <w:r>
        <w:rPr>
          <w:rFonts w:ascii="Arial" w:cs="Arial" w:eastAsia="Arial" w:hAnsi="Arial"/>
          <w:sz w:val="18"/>
          <w:szCs w:val="18"/>
          <w:color w:val="auto"/>
        </w:rPr>
        <w:t>actividades específicas de avaliação da conformidade.</w:t>
      </w:r>
    </w:p>
    <w:p>
      <w:pPr>
        <w:jc w:val="both"/>
        <w:ind w:left="680" w:right="110" w:hanging="226"/>
        <w:spacing w:after="0"/>
        <w:tabs>
          <w:tab w:leader="none" w:pos="746" w:val="left"/>
        </w:tabs>
        <w:numPr>
          <w:ilvl w:val="0"/>
          <w:numId w:val="3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Documento normativo</w:t>
      </w:r>
      <w:r>
        <w:rPr>
          <w:rFonts w:ascii="Arial" w:cs="Arial" w:eastAsia="Arial" w:hAnsi="Arial"/>
          <w:sz w:val="20"/>
          <w:szCs w:val="20"/>
          <w:color w:val="auto"/>
        </w:rPr>
        <w:t>: documento que define regras,</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 xml:space="preserve">linhas de orientação ou características para actividades ou seus resultados. Neste contexto os documentos normativos incluem nomeadamente, as normas, as </w:t>
      </w:r>
      <w:r>
        <w:rPr>
          <w:rFonts w:ascii="Arial" w:cs="Arial" w:eastAsia="Arial" w:hAnsi="Arial"/>
          <w:sz w:val="20"/>
          <w:szCs w:val="20"/>
          <w:color w:val="auto"/>
        </w:rPr>
        <w:t xml:space="preserve">especificações técnicas, os códigos de boas práticas </w:t>
      </w:r>
      <w:r>
        <w:rPr>
          <w:rFonts w:ascii="Times New Roman" w:cs="Times New Roman" w:eastAsia="Times New Roman" w:hAnsi="Times New Roman"/>
          <w:sz w:val="20"/>
          <w:szCs w:val="20"/>
          <w:color w:val="auto"/>
        </w:rPr>
        <w:t>e as directivas.</w:t>
      </w:r>
    </w:p>
    <w:p>
      <w:pPr>
        <w:spacing w:after="0" w:line="1" w:lineRule="exact"/>
        <w:rPr>
          <w:rFonts w:ascii="Times New Roman" w:cs="Times New Roman" w:eastAsia="Times New Roman" w:hAnsi="Times New Roman"/>
          <w:sz w:val="20"/>
          <w:szCs w:val="20"/>
          <w:color w:val="auto"/>
        </w:rPr>
      </w:pPr>
    </w:p>
    <w:p>
      <w:pPr>
        <w:jc w:val="both"/>
        <w:ind w:left="680" w:right="110" w:hanging="226"/>
        <w:spacing w:after="0" w:line="238" w:lineRule="auto"/>
        <w:tabs>
          <w:tab w:leader="none" w:pos="741" w:val="left"/>
        </w:tabs>
        <w:numPr>
          <w:ilvl w:val="0"/>
          <w:numId w:val="3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Ensaio</w:t>
      </w:r>
      <w:r>
        <w:rPr>
          <w:rFonts w:ascii="Times New Roman" w:cs="Times New Roman" w:eastAsia="Times New Roman" w:hAnsi="Times New Roman"/>
          <w:sz w:val="20"/>
          <w:szCs w:val="20"/>
          <w:color w:val="auto"/>
        </w:rPr>
        <w:t>: operação técnica que consiste na determinação</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 xml:space="preserve">de uma ou mais características de um dado produto, processo ou serviço de acordo com um procedimento </w:t>
      </w:r>
      <w:r>
        <w:rPr>
          <w:rFonts w:ascii="Arial" w:cs="Arial" w:eastAsia="Arial" w:hAnsi="Arial"/>
          <w:sz w:val="20"/>
          <w:szCs w:val="20"/>
          <w:color w:val="auto"/>
        </w:rPr>
        <w:t>especificado.</w:t>
      </w:r>
    </w:p>
    <w:p>
      <w:pPr>
        <w:spacing w:after="0" w:line="2" w:lineRule="exact"/>
        <w:rPr>
          <w:rFonts w:ascii="Times New Roman" w:cs="Times New Roman" w:eastAsia="Times New Roman" w:hAnsi="Times New Roman"/>
          <w:sz w:val="20"/>
          <w:szCs w:val="20"/>
          <w:color w:val="auto"/>
        </w:rPr>
      </w:pPr>
    </w:p>
    <w:p>
      <w:pPr>
        <w:jc w:val="both"/>
        <w:ind w:left="680" w:right="90" w:hanging="226"/>
        <w:spacing w:after="0"/>
        <w:tabs>
          <w:tab w:leader="none" w:pos="818" w:val="left"/>
        </w:tabs>
        <w:numPr>
          <w:ilvl w:val="0"/>
          <w:numId w:val="3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Especificação Técnica</w:t>
      </w:r>
      <w:r>
        <w:rPr>
          <w:rFonts w:ascii="Times New Roman" w:cs="Times New Roman" w:eastAsia="Times New Roman" w:hAnsi="Times New Roman"/>
          <w:sz w:val="20"/>
          <w:szCs w:val="20"/>
          <w:color w:val="auto"/>
        </w:rPr>
        <w:t>: documento que define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requisitos técnicos que um produto ou equipamento, processo, serviço deve cumprir.</w:t>
      </w:r>
    </w:p>
    <w:p>
      <w:pPr>
        <w:jc w:val="both"/>
        <w:ind w:left="680" w:right="90" w:hanging="226"/>
        <w:spacing w:after="0"/>
        <w:tabs>
          <w:tab w:leader="none" w:pos="779" w:val="left"/>
        </w:tabs>
        <w:numPr>
          <w:ilvl w:val="0"/>
          <w:numId w:val="3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Equipamento e infraestrutura de classe mundial</w:t>
      </w:r>
      <w:r>
        <w:rPr>
          <w:rFonts w:ascii="Times New Roman" w:cs="Times New Roman" w:eastAsia="Times New Roman" w:hAnsi="Times New Roman"/>
          <w:sz w:val="20"/>
          <w:szCs w:val="20"/>
          <w:color w:val="auto"/>
        </w:rPr>
        <w:t>:</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Trata-se de equipamento e infrastrutura de excelência, de primeira, de alto nível, de renome global, de qualidade mundialmente reconhecida.</w:t>
      </w:r>
    </w:p>
    <w:p>
      <w:pPr>
        <w:jc w:val="both"/>
        <w:ind w:left="680" w:right="110" w:hanging="226"/>
        <w:spacing w:after="0" w:line="252" w:lineRule="auto"/>
        <w:tabs>
          <w:tab w:leader="none" w:pos="754" w:val="left"/>
        </w:tabs>
        <w:numPr>
          <w:ilvl w:val="0"/>
          <w:numId w:val="35"/>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b w:val="1"/>
          <w:bCs w:val="1"/>
          <w:color w:val="auto"/>
        </w:rPr>
        <w:t>Etiquetagem</w:t>
      </w:r>
      <w:r>
        <w:rPr>
          <w:rFonts w:ascii="Times New Roman" w:cs="Times New Roman" w:eastAsia="Times New Roman" w:hAnsi="Times New Roman"/>
          <w:sz w:val="19"/>
          <w:szCs w:val="19"/>
          <w:color w:val="auto"/>
        </w:rPr>
        <w:t>: atestação por terceira parte, geralmente</w:t>
      </w:r>
      <w:r>
        <w:rPr>
          <w:rFonts w:ascii="Times New Roman" w:cs="Times New Roman" w:eastAsia="Times New Roman" w:hAnsi="Times New Roman"/>
          <w:sz w:val="19"/>
          <w:szCs w:val="19"/>
          <w:b w:val="1"/>
          <w:bCs w:val="1"/>
          <w:color w:val="auto"/>
        </w:rPr>
        <w:t xml:space="preserve"> </w:t>
      </w:r>
      <w:r>
        <w:rPr>
          <w:rFonts w:ascii="Times New Roman" w:cs="Times New Roman" w:eastAsia="Times New Roman" w:hAnsi="Times New Roman"/>
          <w:sz w:val="19"/>
          <w:szCs w:val="19"/>
          <w:color w:val="auto"/>
        </w:rPr>
        <w:t>através de ensaios, em que é determinada e informada ao consumidor uma característica do produto, especialmente relacionada ao seu desempenho.</w:t>
      </w:r>
    </w:p>
    <w:p>
      <w:pPr>
        <w:spacing w:after="0" w:line="2" w:lineRule="exact"/>
        <w:rPr>
          <w:rFonts w:ascii="Times New Roman" w:cs="Times New Roman" w:eastAsia="Times New Roman" w:hAnsi="Times New Roman"/>
          <w:sz w:val="19"/>
          <w:szCs w:val="19"/>
          <w:color w:val="auto"/>
        </w:rPr>
      </w:pPr>
    </w:p>
    <w:p>
      <w:pPr>
        <w:jc w:val="both"/>
        <w:ind w:left="680" w:right="90" w:hanging="226"/>
        <w:spacing w:after="0"/>
        <w:tabs>
          <w:tab w:leader="none" w:pos="825" w:val="left"/>
        </w:tabs>
        <w:numPr>
          <w:ilvl w:val="0"/>
          <w:numId w:val="3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Fornecedor</w:t>
      </w:r>
      <w:r>
        <w:rPr>
          <w:rFonts w:ascii="Times New Roman" w:cs="Times New Roman" w:eastAsia="Times New Roman" w:hAnsi="Times New Roman"/>
          <w:sz w:val="20"/>
          <w:szCs w:val="20"/>
          <w:color w:val="auto"/>
        </w:rPr>
        <w:t>: é toda pessoa física ou jurídica,</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pública ou privada, nacional ou estrangeira, bem como os entes despersonalizados, que desenvolvem actividades de produção, montagem, criação, construção, transformação, importação, exportação, distribuição ou comercialização de produtos ou prestação de serviços.</w:t>
      </w:r>
    </w:p>
    <w:p>
      <w:pPr>
        <w:jc w:val="both"/>
        <w:ind w:left="680" w:right="110" w:hanging="226"/>
        <w:spacing w:after="0" w:line="241" w:lineRule="auto"/>
        <w:tabs>
          <w:tab w:leader="none" w:pos="752" w:val="left"/>
        </w:tabs>
        <w:numPr>
          <w:ilvl w:val="0"/>
          <w:numId w:val="35"/>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Grupo de Trabalho de Normalização (GTN)</w:t>
      </w:r>
      <w:r>
        <w:rPr>
          <w:rFonts w:ascii="Times New Roman" w:cs="Times New Roman" w:eastAsia="Times New Roman" w:hAnsi="Times New Roman"/>
          <w:sz w:val="20"/>
          <w:szCs w:val="20"/>
          <w:color w:val="auto"/>
        </w:rPr>
        <w:t>: grupo</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de trabalho, de carácter "</w:t>
      </w:r>
      <w:r>
        <w:rPr>
          <w:rFonts w:ascii="Times New Roman" w:cs="Times New Roman" w:eastAsia="Times New Roman" w:hAnsi="Times New Roman"/>
          <w:sz w:val="20"/>
          <w:szCs w:val="20"/>
          <w:i w:val="1"/>
          <w:iCs w:val="1"/>
          <w:color w:val="auto"/>
        </w:rPr>
        <w:t>ad-hoc</w:t>
      </w:r>
      <w:r>
        <w:rPr>
          <w:rFonts w:ascii="Times New Roman" w:cs="Times New Roman" w:eastAsia="Times New Roman" w:hAnsi="Times New Roman"/>
          <w:sz w:val="20"/>
          <w:szCs w:val="20"/>
          <w:color w:val="auto"/>
        </w:rPr>
        <w:t xml:space="preserve">” que se encarrega do </w:t>
      </w:r>
      <w:r>
        <w:rPr>
          <w:rFonts w:ascii="Arial" w:cs="Arial" w:eastAsia="Arial" w:hAnsi="Arial"/>
          <w:sz w:val="20"/>
          <w:szCs w:val="20"/>
          <w:color w:val="auto"/>
        </w:rPr>
        <w:t xml:space="preserve">estudo de temas específicos e que depende de uma CTN </w:t>
      </w:r>
      <w:r>
        <w:rPr>
          <w:rFonts w:ascii="Times New Roman" w:cs="Times New Roman" w:eastAsia="Times New Roman" w:hAnsi="Times New Roman"/>
          <w:sz w:val="20"/>
          <w:szCs w:val="20"/>
          <w:color w:val="auto"/>
        </w:rPr>
        <w:t>ou SCTN.</w:t>
      </w:r>
    </w:p>
    <w:p>
      <w:pPr>
        <w:spacing w:after="0" w:line="20" w:lineRule="exact"/>
        <w:rPr>
          <w:sz w:val="20"/>
          <w:szCs w:val="20"/>
          <w:color w:val="auto"/>
        </w:rPr>
      </w:pPr>
      <w:r>
        <w:rPr>
          <w:sz w:val="20"/>
          <w:szCs w:val="20"/>
          <w:color w:val="auto"/>
        </w:rPr>
        <w:br w:type="column"/>
      </w:r>
    </w:p>
    <w:p>
      <w:pPr>
        <w:spacing w:after="0" w:line="264" w:lineRule="exact"/>
        <w:rPr>
          <w:sz w:val="20"/>
          <w:szCs w:val="20"/>
          <w:color w:val="auto"/>
        </w:rPr>
      </w:pPr>
    </w:p>
    <w:p>
      <w:pPr>
        <w:ind w:left="230" w:hanging="230"/>
        <w:spacing w:after="0" w:line="250" w:lineRule="auto"/>
        <w:tabs>
          <w:tab w:leader="none" w:pos="350" w:val="left"/>
        </w:tabs>
        <w:numPr>
          <w:ilvl w:val="0"/>
          <w:numId w:val="3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INNOQ, IP</w:t>
      </w:r>
      <w:r>
        <w:rPr>
          <w:rFonts w:ascii="Times New Roman" w:cs="Times New Roman" w:eastAsia="Times New Roman" w:hAnsi="Times New Roman"/>
          <w:sz w:val="20"/>
          <w:szCs w:val="20"/>
          <w:color w:val="auto"/>
        </w:rPr>
        <w:t>: Instituto Nacional de Normalização</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e Qualidade-Instituto Público.</w:t>
      </w:r>
    </w:p>
    <w:p>
      <w:pPr>
        <w:jc w:val="both"/>
        <w:ind w:left="230" w:hanging="230"/>
        <w:spacing w:after="0" w:line="250" w:lineRule="auto"/>
        <w:tabs>
          <w:tab w:leader="none" w:pos="298" w:val="left"/>
        </w:tabs>
        <w:numPr>
          <w:ilvl w:val="0"/>
          <w:numId w:val="3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Inspecção</w:t>
      </w:r>
      <w:r>
        <w:rPr>
          <w:rFonts w:ascii="Times New Roman" w:cs="Times New Roman" w:eastAsia="Times New Roman" w:hAnsi="Times New Roman"/>
          <w:sz w:val="20"/>
          <w:szCs w:val="20"/>
          <w:color w:val="auto"/>
        </w:rPr>
        <w:t>: avaliação da conformidade por observação</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e julgamento acompanhados de forma apropriada por medições, ensaios ou comparações.</w:t>
      </w:r>
    </w:p>
    <w:p>
      <w:pPr>
        <w:spacing w:after="0" w:line="1" w:lineRule="exact"/>
        <w:rPr>
          <w:rFonts w:ascii="Times New Roman" w:cs="Times New Roman" w:eastAsia="Times New Roman" w:hAnsi="Times New Roman"/>
          <w:sz w:val="20"/>
          <w:szCs w:val="20"/>
          <w:color w:val="auto"/>
        </w:rPr>
      </w:pPr>
    </w:p>
    <w:p>
      <w:pPr>
        <w:ind w:left="230" w:hanging="230"/>
        <w:spacing w:after="0" w:line="249" w:lineRule="auto"/>
        <w:tabs>
          <w:tab w:leader="none" w:pos="318" w:val="left"/>
        </w:tabs>
        <w:numPr>
          <w:ilvl w:val="0"/>
          <w:numId w:val="3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Inspecção física</w:t>
      </w:r>
      <w:r>
        <w:rPr>
          <w:rFonts w:ascii="Arial" w:cs="Arial" w:eastAsia="Arial" w:hAnsi="Arial"/>
          <w:sz w:val="20"/>
          <w:szCs w:val="20"/>
          <w:color w:val="auto"/>
        </w:rPr>
        <w:t>: verificação visual da conformidade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do produto em análise.</w:t>
      </w:r>
    </w:p>
    <w:p>
      <w:pPr>
        <w:ind w:left="310" w:hanging="310"/>
        <w:spacing w:after="0"/>
        <w:tabs>
          <w:tab w:leader="none" w:pos="310" w:val="left"/>
        </w:tabs>
        <w:numPr>
          <w:ilvl w:val="0"/>
          <w:numId w:val="3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ISO</w:t>
      </w:r>
      <w:r>
        <w:rPr>
          <w:rFonts w:ascii="Times New Roman" w:cs="Times New Roman" w:eastAsia="Times New Roman" w:hAnsi="Times New Roman"/>
          <w:sz w:val="20"/>
          <w:szCs w:val="20"/>
          <w:color w:val="auto"/>
        </w:rPr>
        <w:t>: Organização Internacional de Normalização.</w:t>
      </w:r>
    </w:p>
    <w:p>
      <w:pPr>
        <w:spacing w:after="0" w:line="10" w:lineRule="exact"/>
        <w:rPr>
          <w:rFonts w:ascii="Times New Roman" w:cs="Times New Roman" w:eastAsia="Times New Roman" w:hAnsi="Times New Roman"/>
          <w:sz w:val="20"/>
          <w:szCs w:val="20"/>
          <w:color w:val="auto"/>
        </w:rPr>
      </w:pPr>
    </w:p>
    <w:p>
      <w:pPr>
        <w:jc w:val="both"/>
        <w:ind w:left="230" w:hanging="230"/>
        <w:spacing w:after="0" w:line="278" w:lineRule="auto"/>
        <w:tabs>
          <w:tab w:leader="none" w:pos="344" w:val="left"/>
        </w:tabs>
        <w:numPr>
          <w:ilvl w:val="0"/>
          <w:numId w:val="3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Licença</w:t>
      </w:r>
      <w:r>
        <w:rPr>
          <w:rFonts w:ascii="Times New Roman" w:cs="Times New Roman" w:eastAsia="Times New Roman" w:hAnsi="Times New Roman"/>
          <w:sz w:val="18"/>
          <w:szCs w:val="18"/>
          <w:color w:val="auto"/>
        </w:rPr>
        <w:t>: Documento que confirma que o produto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 xml:space="preserve">está em conformidade com as normas e regulamentos técnicos. No contexto da implementação dos programas de avaliação da conformidade, são emitidas licenças aos </w:t>
      </w:r>
      <w:r>
        <w:rPr>
          <w:rFonts w:ascii="Arial" w:cs="Arial" w:eastAsia="Arial" w:hAnsi="Arial"/>
          <w:sz w:val="18"/>
          <w:szCs w:val="18"/>
          <w:color w:val="auto"/>
        </w:rPr>
        <w:t xml:space="preserve">fabricantes (e qualquer representante oficial) para as categorias de produtos em causa, por forma a confirmar </w:t>
      </w:r>
      <w:r>
        <w:rPr>
          <w:rFonts w:ascii="Times New Roman" w:cs="Times New Roman" w:eastAsia="Times New Roman" w:hAnsi="Times New Roman"/>
          <w:sz w:val="18"/>
          <w:szCs w:val="18"/>
          <w:color w:val="auto"/>
        </w:rPr>
        <w:t>a sua capacidade de produzir produtos em conformidade com o Programa de Avaliação da Conformidade como parte de um sistema de gestão da qualidade.</w:t>
      </w:r>
    </w:p>
    <w:p>
      <w:pPr>
        <w:jc w:val="both"/>
        <w:ind w:left="230" w:hanging="230"/>
        <w:spacing w:after="0" w:line="250" w:lineRule="auto"/>
        <w:tabs>
          <w:tab w:leader="none" w:pos="307" w:val="left"/>
        </w:tabs>
        <w:numPr>
          <w:ilvl w:val="0"/>
          <w:numId w:val="3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Lista de produtos de controlo obrigatório</w:t>
      </w:r>
      <w:r>
        <w:rPr>
          <w:rFonts w:ascii="Times New Roman" w:cs="Times New Roman" w:eastAsia="Times New Roman" w:hAnsi="Times New Roman"/>
          <w:sz w:val="20"/>
          <w:szCs w:val="20"/>
          <w:color w:val="auto"/>
        </w:rPr>
        <w:t>: lista que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contém os produtos considerados de risco para a saúde e segurança públicas e meio ambiente, que devem ser sujeitos ao controlo obrigatório;</w:t>
      </w:r>
    </w:p>
    <w:p>
      <w:pPr>
        <w:spacing w:after="0" w:line="1" w:lineRule="exact"/>
        <w:rPr>
          <w:rFonts w:ascii="Times New Roman" w:cs="Times New Roman" w:eastAsia="Times New Roman" w:hAnsi="Times New Roman"/>
          <w:sz w:val="20"/>
          <w:szCs w:val="20"/>
          <w:color w:val="auto"/>
        </w:rPr>
      </w:pPr>
    </w:p>
    <w:p>
      <w:pPr>
        <w:jc w:val="both"/>
        <w:ind w:left="230" w:hanging="230"/>
        <w:spacing w:after="0" w:line="263" w:lineRule="auto"/>
        <w:tabs>
          <w:tab w:leader="none" w:pos="283" w:val="left"/>
        </w:tabs>
        <w:numPr>
          <w:ilvl w:val="0"/>
          <w:numId w:val="36"/>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b w:val="1"/>
          <w:bCs w:val="1"/>
          <w:color w:val="auto"/>
        </w:rPr>
        <w:t>Marca de Conformidade</w:t>
      </w:r>
      <w:r>
        <w:rPr>
          <w:rFonts w:ascii="Times New Roman" w:cs="Times New Roman" w:eastAsia="Times New Roman" w:hAnsi="Times New Roman"/>
          <w:sz w:val="19"/>
          <w:szCs w:val="19"/>
          <w:color w:val="auto"/>
        </w:rPr>
        <w:t>: marca protegida, aplicada ou</w:t>
      </w:r>
      <w:r>
        <w:rPr>
          <w:rFonts w:ascii="Times New Roman" w:cs="Times New Roman" w:eastAsia="Times New Roman" w:hAnsi="Times New Roman"/>
          <w:sz w:val="19"/>
          <w:szCs w:val="19"/>
          <w:b w:val="1"/>
          <w:bCs w:val="1"/>
          <w:color w:val="auto"/>
        </w:rPr>
        <w:t xml:space="preserve"> </w:t>
      </w:r>
      <w:r>
        <w:rPr>
          <w:rFonts w:ascii="Times New Roman" w:cs="Times New Roman" w:eastAsia="Times New Roman" w:hAnsi="Times New Roman"/>
          <w:sz w:val="19"/>
          <w:szCs w:val="19"/>
          <w:color w:val="auto"/>
        </w:rPr>
        <w:t xml:space="preserve">emitida segundo as regras de um subsistema de avaliação </w:t>
      </w:r>
      <w:r>
        <w:rPr>
          <w:rFonts w:ascii="Arial" w:cs="Arial" w:eastAsia="Arial" w:hAnsi="Arial"/>
          <w:sz w:val="19"/>
          <w:szCs w:val="19"/>
          <w:color w:val="auto"/>
        </w:rPr>
        <w:t xml:space="preserve">da conformidade, que indica, com um nível suficiente de confiança que o produto, processo ou serviço está em conformidade com uma norma específica ou outro </w:t>
      </w:r>
      <w:r>
        <w:rPr>
          <w:rFonts w:ascii="Times New Roman" w:cs="Times New Roman" w:eastAsia="Times New Roman" w:hAnsi="Times New Roman"/>
          <w:sz w:val="19"/>
          <w:szCs w:val="19"/>
          <w:color w:val="auto"/>
        </w:rPr>
        <w:t>documento normativo.</w:t>
      </w:r>
    </w:p>
    <w:p>
      <w:pPr>
        <w:spacing w:after="0" w:line="1" w:lineRule="exact"/>
        <w:rPr>
          <w:rFonts w:ascii="Times New Roman" w:cs="Times New Roman" w:eastAsia="Times New Roman" w:hAnsi="Times New Roman"/>
          <w:sz w:val="19"/>
          <w:szCs w:val="19"/>
          <w:color w:val="auto"/>
        </w:rPr>
      </w:pPr>
    </w:p>
    <w:p>
      <w:pPr>
        <w:jc w:val="both"/>
        <w:ind w:left="230" w:hanging="230"/>
        <w:spacing w:after="0" w:line="250" w:lineRule="auto"/>
        <w:tabs>
          <w:tab w:leader="none" w:pos="369" w:val="left"/>
        </w:tabs>
        <w:numPr>
          <w:ilvl w:val="0"/>
          <w:numId w:val="3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Marca Nacional de Conformidade</w:t>
      </w:r>
      <w:r>
        <w:rPr>
          <w:rFonts w:ascii="Times New Roman" w:cs="Times New Roman" w:eastAsia="Times New Roman" w:hAnsi="Times New Roman"/>
          <w:sz w:val="20"/>
          <w:szCs w:val="20"/>
          <w:color w:val="auto"/>
        </w:rPr>
        <w:t>: marca de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conformidade aplicada com base num regulamento técnico.</w:t>
      </w:r>
    </w:p>
    <w:p>
      <w:pPr>
        <w:spacing w:after="0" w:line="1" w:lineRule="exact"/>
        <w:rPr>
          <w:rFonts w:ascii="Times New Roman" w:cs="Times New Roman" w:eastAsia="Times New Roman" w:hAnsi="Times New Roman"/>
          <w:sz w:val="20"/>
          <w:szCs w:val="20"/>
          <w:color w:val="auto"/>
        </w:rPr>
      </w:pPr>
    </w:p>
    <w:p>
      <w:pPr>
        <w:jc w:val="both"/>
        <w:ind w:left="230" w:hanging="230"/>
        <w:spacing w:after="0" w:line="250" w:lineRule="auto"/>
        <w:tabs>
          <w:tab w:leader="none" w:pos="343" w:val="left"/>
        </w:tabs>
        <w:numPr>
          <w:ilvl w:val="0"/>
          <w:numId w:val="3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Norma Internacional</w:t>
      </w:r>
      <w:r>
        <w:rPr>
          <w:rFonts w:ascii="Times New Roman" w:cs="Times New Roman" w:eastAsia="Times New Roman" w:hAnsi="Times New Roman"/>
          <w:sz w:val="20"/>
          <w:szCs w:val="20"/>
          <w:color w:val="auto"/>
        </w:rPr>
        <w:t>: norma que é adoptada por</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uma organização internacional de normalização e disponibilizada para o público.</w:t>
      </w:r>
    </w:p>
    <w:p>
      <w:pPr>
        <w:spacing w:after="0" w:line="1" w:lineRule="exact"/>
        <w:rPr>
          <w:rFonts w:ascii="Times New Roman" w:cs="Times New Roman" w:eastAsia="Times New Roman" w:hAnsi="Times New Roman"/>
          <w:sz w:val="20"/>
          <w:szCs w:val="20"/>
          <w:color w:val="auto"/>
        </w:rPr>
      </w:pPr>
    </w:p>
    <w:p>
      <w:pPr>
        <w:jc w:val="both"/>
        <w:ind w:left="230" w:hanging="230"/>
        <w:spacing w:after="0" w:line="248" w:lineRule="auto"/>
        <w:tabs>
          <w:tab w:leader="none" w:pos="346" w:val="left"/>
        </w:tabs>
        <w:numPr>
          <w:ilvl w:val="0"/>
          <w:numId w:val="3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Norma Moçambicana (NM) ou Norma Técnica Moçambicana</w:t>
      </w:r>
      <w:r>
        <w:rPr>
          <w:rFonts w:ascii="Times New Roman" w:cs="Times New Roman" w:eastAsia="Times New Roman" w:hAnsi="Times New Roman"/>
          <w:sz w:val="20"/>
          <w:szCs w:val="20"/>
          <w:color w:val="auto"/>
        </w:rPr>
        <w:t>: documento estabelecido por consenso</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e aprovado pelo Instituto Nacional de Normalização e Qualidade-IP, que fornece, para utilização comum e repetida, regras, diretrizes ou características para actividades ou seus resultados, garantindo um nível de organização óptimo, num dado contexto.</w:t>
      </w:r>
    </w:p>
    <w:p>
      <w:pPr>
        <w:spacing w:after="0" w:line="6" w:lineRule="exact"/>
        <w:rPr>
          <w:rFonts w:ascii="Times New Roman" w:cs="Times New Roman" w:eastAsia="Times New Roman" w:hAnsi="Times New Roman"/>
          <w:sz w:val="20"/>
          <w:szCs w:val="20"/>
          <w:color w:val="auto"/>
        </w:rPr>
      </w:pPr>
    </w:p>
    <w:p>
      <w:pPr>
        <w:jc w:val="both"/>
        <w:ind w:left="230" w:hanging="230"/>
        <w:spacing w:after="0" w:line="241" w:lineRule="auto"/>
        <w:tabs>
          <w:tab w:leader="none" w:pos="284" w:val="left"/>
        </w:tabs>
        <w:numPr>
          <w:ilvl w:val="0"/>
          <w:numId w:val="3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Norma Regional</w:t>
      </w:r>
      <w:r>
        <w:rPr>
          <w:rFonts w:ascii="Times New Roman" w:cs="Times New Roman" w:eastAsia="Times New Roman" w:hAnsi="Times New Roman"/>
          <w:sz w:val="20"/>
          <w:szCs w:val="20"/>
          <w:color w:val="auto"/>
        </w:rPr>
        <w:t>: norma adoptada por uma organização</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regional de normalização e que é colocada à disposição do público.</w:t>
      </w:r>
    </w:p>
    <w:p>
      <w:pPr>
        <w:spacing w:after="0" w:line="1" w:lineRule="exact"/>
        <w:rPr>
          <w:rFonts w:ascii="Times New Roman" w:cs="Times New Roman" w:eastAsia="Times New Roman" w:hAnsi="Times New Roman"/>
          <w:sz w:val="20"/>
          <w:szCs w:val="20"/>
          <w:color w:val="auto"/>
        </w:rPr>
      </w:pPr>
    </w:p>
    <w:p>
      <w:pPr>
        <w:jc w:val="both"/>
        <w:ind w:left="230" w:hanging="230"/>
        <w:spacing w:after="0" w:line="239" w:lineRule="auto"/>
        <w:tabs>
          <w:tab w:leader="none" w:pos="355" w:val="left"/>
        </w:tabs>
        <w:numPr>
          <w:ilvl w:val="0"/>
          <w:numId w:val="3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Norma</w:t>
      </w:r>
      <w:r>
        <w:rPr>
          <w:rFonts w:ascii="Times New Roman" w:cs="Times New Roman" w:eastAsia="Times New Roman" w:hAnsi="Times New Roman"/>
          <w:sz w:val="20"/>
          <w:szCs w:val="20"/>
          <w:color w:val="auto"/>
        </w:rPr>
        <w:t>: documento estabelecido por consenso 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aprovado por um organismo reconhecido, que fornece, para utilização comum e repetida, regras, directrizes ou características para actividades ou seus resultados. garantindo um nível de organização óptimo, num dado contexto.</w:t>
      </w:r>
    </w:p>
    <w:p>
      <w:pPr>
        <w:spacing w:after="0" w:line="1" w:lineRule="exact"/>
        <w:rPr>
          <w:rFonts w:ascii="Times New Roman" w:cs="Times New Roman" w:eastAsia="Times New Roman" w:hAnsi="Times New Roman"/>
          <w:sz w:val="20"/>
          <w:szCs w:val="20"/>
          <w:color w:val="auto"/>
        </w:rPr>
      </w:pPr>
    </w:p>
    <w:p>
      <w:pPr>
        <w:jc w:val="both"/>
        <w:ind w:left="230" w:hanging="230"/>
        <w:spacing w:after="0" w:line="252" w:lineRule="auto"/>
        <w:tabs>
          <w:tab w:leader="none" w:pos="323" w:val="left"/>
        </w:tabs>
        <w:numPr>
          <w:ilvl w:val="0"/>
          <w:numId w:val="36"/>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b w:val="1"/>
          <w:bCs w:val="1"/>
          <w:color w:val="auto"/>
        </w:rPr>
        <w:t>Normalização</w:t>
      </w:r>
      <w:r>
        <w:rPr>
          <w:rFonts w:ascii="Times New Roman" w:cs="Times New Roman" w:eastAsia="Times New Roman" w:hAnsi="Times New Roman"/>
          <w:sz w:val="19"/>
          <w:szCs w:val="19"/>
          <w:color w:val="auto"/>
        </w:rPr>
        <w:t>: actividade destinada a estabelecer, face</w:t>
      </w:r>
      <w:r>
        <w:rPr>
          <w:rFonts w:ascii="Times New Roman" w:cs="Times New Roman" w:eastAsia="Times New Roman" w:hAnsi="Times New Roman"/>
          <w:sz w:val="19"/>
          <w:szCs w:val="19"/>
          <w:b w:val="1"/>
          <w:bCs w:val="1"/>
          <w:color w:val="auto"/>
        </w:rPr>
        <w:t xml:space="preserve"> </w:t>
      </w:r>
      <w:r>
        <w:rPr>
          <w:rFonts w:ascii="Times New Roman" w:cs="Times New Roman" w:eastAsia="Times New Roman" w:hAnsi="Times New Roman"/>
          <w:sz w:val="19"/>
          <w:szCs w:val="19"/>
          <w:color w:val="auto"/>
        </w:rPr>
        <w:t>a problemas reais ou potenciais, disposições destinadas a uma utilização comum e repetida, visando a obtenção do grau óptimo de organização num dado domínio.</w:t>
      </w:r>
    </w:p>
    <w:p>
      <w:pPr>
        <w:spacing w:after="0" w:line="2" w:lineRule="exact"/>
        <w:rPr>
          <w:rFonts w:ascii="Times New Roman" w:cs="Times New Roman" w:eastAsia="Times New Roman" w:hAnsi="Times New Roman"/>
          <w:sz w:val="19"/>
          <w:szCs w:val="19"/>
          <w:color w:val="auto"/>
        </w:rPr>
      </w:pPr>
    </w:p>
    <w:p>
      <w:pPr>
        <w:jc w:val="both"/>
        <w:ind w:left="230" w:hanging="230"/>
        <w:spacing w:after="0" w:line="252" w:lineRule="auto"/>
        <w:tabs>
          <w:tab w:leader="none" w:pos="359" w:val="left"/>
        </w:tabs>
        <w:numPr>
          <w:ilvl w:val="0"/>
          <w:numId w:val="36"/>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b w:val="1"/>
          <w:bCs w:val="1"/>
          <w:color w:val="auto"/>
        </w:rPr>
        <w:t>Normas harmonizadas</w:t>
      </w:r>
      <w:r>
        <w:rPr>
          <w:rFonts w:ascii="Times New Roman" w:cs="Times New Roman" w:eastAsia="Times New Roman" w:hAnsi="Times New Roman"/>
          <w:sz w:val="19"/>
          <w:szCs w:val="19"/>
          <w:color w:val="auto"/>
        </w:rPr>
        <w:t>: normas respeitantes ao</w:t>
      </w:r>
      <w:r>
        <w:rPr>
          <w:rFonts w:ascii="Times New Roman" w:cs="Times New Roman" w:eastAsia="Times New Roman" w:hAnsi="Times New Roman"/>
          <w:sz w:val="19"/>
          <w:szCs w:val="19"/>
          <w:b w:val="1"/>
          <w:bCs w:val="1"/>
          <w:color w:val="auto"/>
        </w:rPr>
        <w:t xml:space="preserve"> </w:t>
      </w:r>
      <w:r>
        <w:rPr>
          <w:rFonts w:ascii="Times New Roman" w:cs="Times New Roman" w:eastAsia="Times New Roman" w:hAnsi="Times New Roman"/>
          <w:sz w:val="19"/>
          <w:szCs w:val="19"/>
          <w:color w:val="auto"/>
        </w:rPr>
        <w:t>mesmo assunto, aprovadas por diferentes organismos com funções de normalização e que asseguram a intermutabilidade de produtos, de processos e serviços, ou a compreensão mútua de resultados de ensaio ou de informações fornecidas de acordo com estas normas.</w:t>
      </w:r>
    </w:p>
    <w:p>
      <w:pPr>
        <w:spacing w:after="0" w:line="3" w:lineRule="exact"/>
        <w:rPr>
          <w:rFonts w:ascii="Times New Roman" w:cs="Times New Roman" w:eastAsia="Times New Roman" w:hAnsi="Times New Roman"/>
          <w:sz w:val="19"/>
          <w:szCs w:val="19"/>
          <w:color w:val="auto"/>
        </w:rPr>
      </w:pPr>
    </w:p>
    <w:p>
      <w:pPr>
        <w:jc w:val="both"/>
        <w:ind w:left="230" w:hanging="230"/>
        <w:spacing w:after="0" w:line="241" w:lineRule="auto"/>
        <w:tabs>
          <w:tab w:leader="none" w:pos="286" w:val="left"/>
        </w:tabs>
        <w:numPr>
          <w:ilvl w:val="0"/>
          <w:numId w:val="36"/>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Objectivo legítimo</w:t>
      </w:r>
      <w:r>
        <w:rPr>
          <w:rFonts w:ascii="Times New Roman" w:cs="Times New Roman" w:eastAsia="Times New Roman" w:hAnsi="Times New Roman"/>
          <w:sz w:val="20"/>
          <w:szCs w:val="20"/>
          <w:color w:val="auto"/>
        </w:rPr>
        <w:t>: imperativos de segurança nacional,</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a prevenção de práticas enganosas, a protecção da saúde ou segurança humana, da saúde ou vida animal ou vegetal ou do meio ambiente.</w:t>
      </w:r>
    </w:p>
    <w:p>
      <w:pPr>
        <w:sectPr>
          <w:pgSz w:w="11900" w:h="16838" w:orient="portrait"/>
          <w:cols w:equalWidth="0" w:num="2">
            <w:col w:w="5190" w:space="720"/>
            <w:col w:w="4630"/>
          </w:cols>
          <w:pgMar w:left="680" w:top="801" w:right="686" w:bottom="63" w:gutter="0" w:footer="0" w:header="0"/>
          <w:type w:val="continuous"/>
        </w:sectPr>
      </w:pPr>
    </w:p>
    <w:bookmarkStart w:id="6" w:name="page7"/>
    <w:bookmarkEnd w:id="6"/>
    <w:tbl>
      <w:tblPr>
        <w:tblLayout w:type="fixed"/>
        <w:tblInd w:w="0" w:type="dxa"/>
        <w:tblCellMar>
          <w:top w:w="0" w:type="dxa"/>
          <w:left w:w="0" w:type="dxa"/>
          <w:bottom w:w="0" w:type="dxa"/>
          <w:right w:w="0" w:type="dxa"/>
        </w:tblCellMar>
      </w:tblPr>
      <w:tr>
        <w:trPr>
          <w:trHeight w:val="230"/>
        </w:trPr>
        <w:tc>
          <w:tcPr>
            <w:tcW w:w="6120" w:type="dxa"/>
            <w:vAlign w:val="bottom"/>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400" w:type="dxa"/>
            <w:vAlign w:val="bottom"/>
          </w:tcPr>
          <w:p>
            <w:pPr>
              <w:jc w:val="right"/>
              <w:spacing w:after="0"/>
              <w:rPr>
                <w:sz w:val="20"/>
                <w:szCs w:val="20"/>
                <w:color w:val="auto"/>
              </w:rPr>
            </w:pPr>
            <w:r>
              <w:rPr>
                <w:rFonts w:ascii="Times New Roman" w:cs="Times New Roman" w:eastAsia="Times New Roman" w:hAnsi="Times New Roman"/>
                <w:sz w:val="20"/>
                <w:szCs w:val="20"/>
                <w:color w:val="auto"/>
              </w:rPr>
              <w:t>351</w:t>
            </w:r>
          </w:p>
        </w:tc>
      </w:tr>
      <w:tr>
        <w:trPr>
          <w:trHeight w:val="40"/>
        </w:trPr>
        <w:tc>
          <w:tcPr>
            <w:tcW w:w="6120" w:type="dxa"/>
            <w:vAlign w:val="bottom"/>
            <w:tcBorders>
              <w:bottom w:val="single" w:sz="8" w:color="auto"/>
            </w:tcBorders>
          </w:tcPr>
          <w:p>
            <w:pPr>
              <w:spacing w:after="0"/>
              <w:rPr>
                <w:sz w:val="3"/>
                <w:szCs w:val="3"/>
                <w:color w:val="auto"/>
              </w:rPr>
            </w:pPr>
          </w:p>
        </w:tc>
        <w:tc>
          <w:tcPr>
            <w:tcW w:w="4400" w:type="dxa"/>
            <w:vAlign w:val="bottom"/>
            <w:tcBorders>
              <w:bottom w:val="single" w:sz="8" w:color="auto"/>
            </w:tcBorders>
          </w:tcPr>
          <w:p>
            <w:pPr>
              <w:spacing w:after="0"/>
              <w:rPr>
                <w:sz w:val="3"/>
                <w:szCs w:val="3"/>
                <w:color w:val="auto"/>
              </w:rPr>
            </w:pPr>
          </w:p>
        </w:tc>
      </w:tr>
    </w:tbl>
    <w:p>
      <w:pPr>
        <w:spacing w:after="0" w:line="200" w:lineRule="exact"/>
        <w:rPr>
          <w:sz w:val="20"/>
          <w:szCs w:val="20"/>
          <w:color w:val="auto"/>
        </w:rPr>
      </w:pPr>
    </w:p>
    <w:p>
      <w:pPr>
        <w:sectPr>
          <w:pgSz w:w="11900" w:h="16838" w:orient="portrait"/>
          <w:cols w:equalWidth="0" w:num="1">
            <w:col w:w="10540"/>
          </w:cols>
          <w:pgMar w:left="680" w:top="803" w:right="686" w:bottom="1440" w:gutter="0" w:footer="0" w:header="0"/>
        </w:sectPr>
      </w:pPr>
    </w:p>
    <w:p>
      <w:pPr>
        <w:spacing w:after="0" w:line="31" w:lineRule="exact"/>
        <w:rPr>
          <w:sz w:val="20"/>
          <w:szCs w:val="20"/>
          <w:color w:val="auto"/>
        </w:rPr>
      </w:pPr>
    </w:p>
    <w:p>
      <w:pPr>
        <w:jc w:val="both"/>
        <w:ind w:left="680" w:right="110" w:hanging="226"/>
        <w:spacing w:after="0" w:line="266" w:lineRule="auto"/>
        <w:tabs>
          <w:tab w:leader="none" w:pos="771"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Órgão de Avaliação da Conformidade</w:t>
      </w:r>
      <w:r>
        <w:rPr>
          <w:rFonts w:ascii="Times New Roman" w:cs="Times New Roman" w:eastAsia="Times New Roman" w:hAnsi="Times New Roman"/>
          <w:sz w:val="18"/>
          <w:szCs w:val="18"/>
          <w:color w:val="auto"/>
        </w:rPr>
        <w:t>: laboratório</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 xml:space="preserve">ou rede de laboratórios independentes, entidade de </w:t>
      </w:r>
      <w:r>
        <w:rPr>
          <w:rFonts w:ascii="Arial" w:cs="Arial" w:eastAsia="Arial" w:hAnsi="Arial"/>
          <w:sz w:val="18"/>
          <w:szCs w:val="18"/>
          <w:color w:val="auto"/>
        </w:rPr>
        <w:t xml:space="preserve">certificação ou inspecção, autoridade de controlo ou outra </w:t>
      </w:r>
      <w:r>
        <w:rPr>
          <w:rFonts w:ascii="Times New Roman" w:cs="Times New Roman" w:eastAsia="Times New Roman" w:hAnsi="Times New Roman"/>
          <w:sz w:val="18"/>
          <w:szCs w:val="18"/>
          <w:color w:val="auto"/>
        </w:rPr>
        <w:t>autoridade que realize uma avaliação da conformidade.</w:t>
      </w:r>
    </w:p>
    <w:p>
      <w:pPr>
        <w:jc w:val="both"/>
        <w:ind w:left="680" w:right="110" w:hanging="226"/>
        <w:spacing w:after="0"/>
        <w:tabs>
          <w:tab w:leader="none" w:pos="826" w:val="left"/>
        </w:tabs>
        <w:numPr>
          <w:ilvl w:val="0"/>
          <w:numId w:val="3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Organismo de Avaliação da Conformidade</w:t>
      </w:r>
      <w:r>
        <w:rPr>
          <w:rFonts w:ascii="Times New Roman" w:cs="Times New Roman" w:eastAsia="Times New Roman" w:hAnsi="Times New Roman"/>
          <w:sz w:val="20"/>
          <w:szCs w:val="20"/>
          <w:color w:val="auto"/>
        </w:rPr>
        <w:t>:</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organismo que realiza os serviços de avaliação da conformidade.</w:t>
      </w:r>
    </w:p>
    <w:p>
      <w:pPr>
        <w:jc w:val="both"/>
        <w:ind w:left="680" w:right="110" w:hanging="226"/>
        <w:spacing w:after="0"/>
        <w:tabs>
          <w:tab w:leader="none" w:pos="790" w:val="left"/>
        </w:tabs>
        <w:numPr>
          <w:ilvl w:val="0"/>
          <w:numId w:val="3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Partes interessadas</w:t>
      </w:r>
      <w:r>
        <w:rPr>
          <w:rFonts w:ascii="Times New Roman" w:cs="Times New Roman" w:eastAsia="Times New Roman" w:hAnsi="Times New Roman"/>
          <w:sz w:val="20"/>
          <w:szCs w:val="20"/>
          <w:color w:val="auto"/>
        </w:rPr>
        <w:t>: pessoas ou organizações que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tem interesse no desempenho ou no sucesso dos procedimentos de avaliação da conformidade.</w:t>
      </w:r>
    </w:p>
    <w:p>
      <w:pPr>
        <w:jc w:val="both"/>
        <w:ind w:left="680" w:right="110" w:hanging="226"/>
        <w:spacing w:after="0" w:line="268" w:lineRule="auto"/>
        <w:tabs>
          <w:tab w:leader="none" w:pos="726" w:val="left"/>
        </w:tabs>
        <w:numPr>
          <w:ilvl w:val="0"/>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Procedimento de avaliação da conformidade</w:t>
      </w:r>
      <w:r>
        <w:rPr>
          <w:rFonts w:ascii="Times New Roman" w:cs="Times New Roman" w:eastAsia="Times New Roman" w:hAnsi="Times New Roman"/>
          <w:sz w:val="18"/>
          <w:szCs w:val="18"/>
          <w:color w:val="auto"/>
        </w:rPr>
        <w:t>: qualquer</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procedimento utilizado directa ou indirectamente para determinar que as prescrições pertinentes de normas ou regulamentos técnicos são cumpridos.</w:t>
      </w:r>
    </w:p>
    <w:p>
      <w:pPr>
        <w:ind w:left="680" w:right="110" w:hanging="227"/>
        <w:spacing w:after="0"/>
        <w:tabs>
          <w:tab w:leader="none" w:pos="782" w:val="left"/>
        </w:tabs>
        <w:numPr>
          <w:ilvl w:val="0"/>
          <w:numId w:val="3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Processo</w:t>
      </w:r>
      <w:r>
        <w:rPr>
          <w:rFonts w:ascii="Times New Roman" w:cs="Times New Roman" w:eastAsia="Times New Roman" w:hAnsi="Times New Roman"/>
          <w:sz w:val="20"/>
          <w:szCs w:val="20"/>
          <w:color w:val="auto"/>
        </w:rPr>
        <w:t>: conjunto de actividades interrelacionadas</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e interactuantes que transformam entradas em saídas.</w:t>
      </w:r>
    </w:p>
    <w:p>
      <w:pPr>
        <w:jc w:val="both"/>
        <w:ind w:left="680" w:right="90" w:hanging="227"/>
        <w:spacing w:after="0" w:line="238" w:lineRule="auto"/>
        <w:tabs>
          <w:tab w:leader="none" w:pos="789" w:val="left"/>
        </w:tabs>
        <w:numPr>
          <w:ilvl w:val="0"/>
          <w:numId w:val="3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Produto</w:t>
      </w:r>
      <w:r>
        <w:rPr>
          <w:rFonts w:ascii="Times New Roman" w:cs="Times New Roman" w:eastAsia="Times New Roman" w:hAnsi="Times New Roman"/>
          <w:sz w:val="20"/>
          <w:szCs w:val="20"/>
          <w:color w:val="auto"/>
        </w:rPr>
        <w:t>: resultado de um conjunto de actividades</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 xml:space="preserve">interrelacionadas e interactuantes que transformam entradas em saídas. Existem 4 categorias de produto: serviço, </w:t>
      </w:r>
      <w:r>
        <w:rPr>
          <w:rFonts w:ascii="Times New Roman" w:cs="Times New Roman" w:eastAsia="Times New Roman" w:hAnsi="Times New Roman"/>
          <w:sz w:val="20"/>
          <w:szCs w:val="20"/>
          <w:i w:val="1"/>
          <w:iCs w:val="1"/>
          <w:color w:val="auto"/>
        </w:rPr>
        <w:t>software</w:t>
      </w:r>
      <w:r>
        <w:rPr>
          <w:rFonts w:ascii="Times New Roman" w:cs="Times New Roman" w:eastAsia="Times New Roman" w:hAnsi="Times New Roman"/>
          <w:sz w:val="20"/>
          <w:szCs w:val="20"/>
          <w:color w:val="auto"/>
        </w:rPr>
        <w:t xml:space="preserve">, </w:t>
      </w:r>
      <w:r>
        <w:rPr>
          <w:rFonts w:ascii="Times New Roman" w:cs="Times New Roman" w:eastAsia="Times New Roman" w:hAnsi="Times New Roman"/>
          <w:sz w:val="20"/>
          <w:szCs w:val="20"/>
          <w:i w:val="1"/>
          <w:iCs w:val="1"/>
          <w:color w:val="auto"/>
        </w:rPr>
        <w:t>hardware</w:t>
      </w:r>
      <w:r>
        <w:rPr>
          <w:rFonts w:ascii="Times New Roman" w:cs="Times New Roman" w:eastAsia="Times New Roman" w:hAnsi="Times New Roman"/>
          <w:sz w:val="20"/>
          <w:szCs w:val="20"/>
          <w:color w:val="auto"/>
        </w:rPr>
        <w:t xml:space="preserve"> e materiais processados.</w:t>
      </w:r>
    </w:p>
    <w:p>
      <w:pPr>
        <w:spacing w:after="0" w:line="3" w:lineRule="exact"/>
        <w:rPr>
          <w:rFonts w:ascii="Times New Roman" w:cs="Times New Roman" w:eastAsia="Times New Roman" w:hAnsi="Times New Roman"/>
          <w:sz w:val="20"/>
          <w:szCs w:val="20"/>
          <w:color w:val="auto"/>
        </w:rPr>
      </w:pPr>
    </w:p>
    <w:p>
      <w:pPr>
        <w:ind w:left="780" w:hanging="327"/>
        <w:spacing w:after="0"/>
        <w:tabs>
          <w:tab w:leader="none" w:pos="780" w:val="left"/>
        </w:tabs>
        <w:numPr>
          <w:ilvl w:val="0"/>
          <w:numId w:val="3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Programa de Avaliação da Conformidade (PAC)</w:t>
      </w:r>
      <w:r>
        <w:rPr>
          <w:rFonts w:ascii="Times New Roman" w:cs="Times New Roman" w:eastAsia="Times New Roman" w:hAnsi="Times New Roman"/>
          <w:sz w:val="20"/>
          <w:szCs w:val="20"/>
          <w:color w:val="auto"/>
        </w:rPr>
        <w:t>:</w:t>
      </w:r>
    </w:p>
    <w:p>
      <w:pPr>
        <w:spacing w:after="0" w:line="5" w:lineRule="exact"/>
        <w:rPr>
          <w:rFonts w:ascii="Times New Roman" w:cs="Times New Roman" w:eastAsia="Times New Roman" w:hAnsi="Times New Roman"/>
          <w:sz w:val="20"/>
          <w:szCs w:val="20"/>
          <w:color w:val="auto"/>
        </w:rPr>
      </w:pPr>
    </w:p>
    <w:p>
      <w:pPr>
        <w:jc w:val="both"/>
        <w:ind w:left="680" w:right="110"/>
        <w:spacing w:after="0" w:line="239" w:lineRule="auto"/>
        <w:tabs>
          <w:tab w:leader="none" w:pos="853" w:val="left"/>
        </w:tabs>
        <w:numPr>
          <w:ilvl w:val="1"/>
          <w:numId w:val="37"/>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color w:val="auto"/>
        </w:rPr>
        <w:t xml:space="preserve">um procedimento de avaliação da conformidade, </w:t>
      </w:r>
      <w:r>
        <w:rPr>
          <w:rFonts w:ascii="Arial" w:cs="Arial" w:eastAsia="Arial" w:hAnsi="Arial"/>
          <w:sz w:val="20"/>
          <w:szCs w:val="20"/>
          <w:color w:val="auto"/>
        </w:rPr>
        <w:t xml:space="preserve">realizado antes do embarque, utilizado para verificar se </w:t>
      </w:r>
      <w:r>
        <w:rPr>
          <w:rFonts w:ascii="Times New Roman" w:cs="Times New Roman" w:eastAsia="Times New Roman" w:hAnsi="Times New Roman"/>
          <w:sz w:val="20"/>
          <w:szCs w:val="20"/>
          <w:color w:val="auto"/>
        </w:rPr>
        <w:t>os produtos a serem importados para o país estão em conformidade com as Normas Técnicas Moçambicanas, Normas Técnicas Regionais ou Normas Técnicas Internacionais aplicáveis no país.</w:t>
      </w:r>
    </w:p>
    <w:p>
      <w:pPr>
        <w:spacing w:after="0" w:line="20" w:lineRule="exact"/>
        <w:rPr>
          <w:sz w:val="20"/>
          <w:szCs w:val="20"/>
          <w:color w:val="auto"/>
        </w:rPr>
      </w:pPr>
      <w:r>
        <w:rPr>
          <w:sz w:val="20"/>
          <w:szCs w:val="20"/>
          <w:color w:val="auto"/>
        </w:rPr>
        <w:br w:type="column"/>
      </w:r>
    </w:p>
    <w:p>
      <w:pPr>
        <w:spacing w:after="0" w:line="11" w:lineRule="exact"/>
        <w:rPr>
          <w:sz w:val="20"/>
          <w:szCs w:val="20"/>
          <w:color w:val="auto"/>
        </w:rPr>
      </w:pPr>
    </w:p>
    <w:p>
      <w:pPr>
        <w:jc w:val="both"/>
        <w:ind w:left="230" w:hanging="230"/>
        <w:spacing w:after="0" w:line="238" w:lineRule="auto"/>
        <w:tabs>
          <w:tab w:leader="none" w:pos="341" w:val="left"/>
        </w:tabs>
        <w:numPr>
          <w:ilvl w:val="0"/>
          <w:numId w:val="3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Regulamento Técnico</w:t>
      </w:r>
      <w:r>
        <w:rPr>
          <w:rFonts w:ascii="Times New Roman" w:cs="Times New Roman" w:eastAsia="Times New Roman" w:hAnsi="Times New Roman"/>
          <w:sz w:val="20"/>
          <w:szCs w:val="20"/>
          <w:color w:val="auto"/>
        </w:rPr>
        <w:t>: documento que estabelece</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as características de um dado produto ou processo a ele relacionadas e os métodos de produção, incluindo as cláusulas administrativas aplicáveis, com as quais a conformidade é obrigatória. Este documento pode também incluir ou tratar exclusivamente de requisitos de terminologia, símbolos, embalagens, marcação e rotulagem e como eles se aplicam a um produto, processo ou método de produção.</w:t>
      </w:r>
    </w:p>
    <w:p>
      <w:pPr>
        <w:spacing w:after="0" w:line="7" w:lineRule="exact"/>
        <w:rPr>
          <w:rFonts w:ascii="Times New Roman" w:cs="Times New Roman" w:eastAsia="Times New Roman" w:hAnsi="Times New Roman"/>
          <w:sz w:val="20"/>
          <w:szCs w:val="20"/>
          <w:color w:val="auto"/>
        </w:rPr>
      </w:pPr>
    </w:p>
    <w:p>
      <w:pPr>
        <w:jc w:val="both"/>
        <w:ind w:left="230" w:hanging="230"/>
        <w:spacing w:after="0" w:line="242" w:lineRule="auto"/>
        <w:tabs>
          <w:tab w:leader="none" w:pos="307" w:val="left"/>
        </w:tabs>
        <w:numPr>
          <w:ilvl w:val="0"/>
          <w:numId w:val="38"/>
        </w:numPr>
        <w:rPr>
          <w:rFonts w:ascii="Times New Roman" w:cs="Times New Roman" w:eastAsia="Times New Roman" w:hAnsi="Times New Roman"/>
          <w:sz w:val="19"/>
          <w:szCs w:val="19"/>
          <w:color w:val="auto"/>
        </w:rPr>
      </w:pPr>
      <w:r>
        <w:rPr>
          <w:rFonts w:ascii="Times New Roman" w:cs="Times New Roman" w:eastAsia="Times New Roman" w:hAnsi="Times New Roman"/>
          <w:sz w:val="19"/>
          <w:szCs w:val="19"/>
          <w:b w:val="1"/>
          <w:bCs w:val="1"/>
          <w:color w:val="auto"/>
        </w:rPr>
        <w:t>Requisito Técnico</w:t>
      </w:r>
      <w:r>
        <w:rPr>
          <w:rFonts w:ascii="Times New Roman" w:cs="Times New Roman" w:eastAsia="Times New Roman" w:hAnsi="Times New Roman"/>
          <w:sz w:val="19"/>
          <w:szCs w:val="19"/>
          <w:color w:val="auto"/>
        </w:rPr>
        <w:t>: condição, exigência ou obrigação</w:t>
      </w:r>
      <w:r>
        <w:rPr>
          <w:rFonts w:ascii="Times New Roman" w:cs="Times New Roman" w:eastAsia="Times New Roman" w:hAnsi="Times New Roman"/>
          <w:sz w:val="19"/>
          <w:szCs w:val="19"/>
          <w:b w:val="1"/>
          <w:bCs w:val="1"/>
          <w:color w:val="auto"/>
        </w:rPr>
        <w:t xml:space="preserve"> </w:t>
      </w:r>
      <w:r>
        <w:rPr>
          <w:rFonts w:ascii="Times New Roman" w:cs="Times New Roman" w:eastAsia="Times New Roman" w:hAnsi="Times New Roman"/>
          <w:sz w:val="19"/>
          <w:szCs w:val="19"/>
          <w:color w:val="auto"/>
        </w:rPr>
        <w:t>técnica de um produto ou de um método de produção ou processamento de tal produto, incluindo disposições administrativas aplicáveis ao produto ou equipamento industrial que é por natureza de cumprimento obrigatório. A exigência técnica também pode conter ou fazer referência exclusivamente a terminologia, símbolos, requisitos com relação à embalagem, designação e indicação, se aplicável a um produto ou equipamento industrial, método de produção ou processamento.</w:t>
      </w:r>
    </w:p>
    <w:p>
      <w:pPr>
        <w:spacing w:after="0" w:line="2" w:lineRule="exact"/>
        <w:rPr>
          <w:rFonts w:ascii="Times New Roman" w:cs="Times New Roman" w:eastAsia="Times New Roman" w:hAnsi="Times New Roman"/>
          <w:sz w:val="19"/>
          <w:szCs w:val="19"/>
          <w:color w:val="auto"/>
        </w:rPr>
      </w:pPr>
    </w:p>
    <w:p>
      <w:pPr>
        <w:jc w:val="both"/>
        <w:ind w:left="230" w:hanging="230"/>
        <w:spacing w:after="0" w:line="229" w:lineRule="auto"/>
        <w:tabs>
          <w:tab w:leader="none" w:pos="330" w:val="left"/>
        </w:tabs>
        <w:numPr>
          <w:ilvl w:val="0"/>
          <w:numId w:val="3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Revisão</w:t>
      </w:r>
      <w:r>
        <w:rPr>
          <w:rFonts w:ascii="Arial" w:cs="Arial" w:eastAsia="Arial" w:hAnsi="Arial"/>
          <w:sz w:val="20"/>
          <w:szCs w:val="20"/>
          <w:color w:val="auto"/>
        </w:rPr>
        <w:t>: introdução de todas modificações julgadas</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necessárias ao conteúdo e à apresentação de um documento normativo.</w:t>
      </w:r>
    </w:p>
    <w:p>
      <w:pPr>
        <w:ind w:left="230" w:hanging="230"/>
        <w:spacing w:after="0" w:line="226" w:lineRule="auto"/>
        <w:tabs>
          <w:tab w:leader="none" w:pos="345" w:val="left"/>
        </w:tabs>
        <w:numPr>
          <w:ilvl w:val="0"/>
          <w:numId w:val="3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Sistema</w:t>
      </w:r>
      <w:r>
        <w:rPr>
          <w:rFonts w:ascii="Times New Roman" w:cs="Times New Roman" w:eastAsia="Times New Roman" w:hAnsi="Times New Roman"/>
          <w:sz w:val="20"/>
          <w:szCs w:val="20"/>
          <w:color w:val="auto"/>
        </w:rPr>
        <w:t>: conjunto de elementos interrelacionados</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e interactuantes.</w:t>
      </w:r>
    </w:p>
    <w:p>
      <w:pPr>
        <w:spacing w:after="0" w:line="1" w:lineRule="exact"/>
        <w:rPr>
          <w:rFonts w:ascii="Times New Roman" w:cs="Times New Roman" w:eastAsia="Times New Roman" w:hAnsi="Times New Roman"/>
          <w:sz w:val="20"/>
          <w:szCs w:val="20"/>
          <w:color w:val="auto"/>
        </w:rPr>
      </w:pPr>
    </w:p>
    <w:p>
      <w:pPr>
        <w:jc w:val="both"/>
        <w:ind w:left="230" w:hanging="230"/>
        <w:spacing w:after="0" w:line="233" w:lineRule="auto"/>
        <w:tabs>
          <w:tab w:leader="none" w:pos="340" w:val="left"/>
        </w:tabs>
        <w:numPr>
          <w:ilvl w:val="0"/>
          <w:numId w:val="38"/>
        </w:numPr>
        <w:rPr>
          <w:rFonts w:ascii="Times New Roman" w:cs="Times New Roman" w:eastAsia="Times New Roman" w:hAnsi="Times New Roman"/>
          <w:sz w:val="20"/>
          <w:szCs w:val="20"/>
          <w:color w:val="auto"/>
        </w:rPr>
      </w:pPr>
      <w:r>
        <w:rPr>
          <w:rFonts w:ascii="Times New Roman" w:cs="Times New Roman" w:eastAsia="Times New Roman" w:hAnsi="Times New Roman"/>
          <w:sz w:val="20"/>
          <w:szCs w:val="20"/>
          <w:b w:val="1"/>
          <w:bCs w:val="1"/>
          <w:color w:val="auto"/>
        </w:rPr>
        <w:t>Subcomissão Técnica de Normalização (SCTN)</w:t>
      </w:r>
      <w:r>
        <w:rPr>
          <w:rFonts w:ascii="Times New Roman" w:cs="Times New Roman" w:eastAsia="Times New Roman" w:hAnsi="Times New Roman"/>
          <w:sz w:val="20"/>
          <w:szCs w:val="20"/>
          <w:color w:val="auto"/>
        </w:rPr>
        <w:t>:</w:t>
      </w:r>
      <w:r>
        <w:rPr>
          <w:rFonts w:ascii="Times New Roman" w:cs="Times New Roman" w:eastAsia="Times New Roman" w:hAnsi="Times New Roman"/>
          <w:sz w:val="20"/>
          <w:szCs w:val="20"/>
          <w:b w:val="1"/>
          <w:bCs w:val="1"/>
          <w:color w:val="auto"/>
        </w:rPr>
        <w:t xml:space="preserve"> </w:t>
      </w:r>
      <w:r>
        <w:rPr>
          <w:rFonts w:ascii="Times New Roman" w:cs="Times New Roman" w:eastAsia="Times New Roman" w:hAnsi="Times New Roman"/>
          <w:sz w:val="20"/>
          <w:szCs w:val="20"/>
          <w:color w:val="auto"/>
        </w:rPr>
        <w:t xml:space="preserve">comissão com carácter permanente, responsável pela elaboração, revisão e correcção das NM de temas </w:t>
      </w:r>
      <w:r>
        <w:rPr>
          <w:rFonts w:ascii="Arial" w:cs="Arial" w:eastAsia="Arial" w:hAnsi="Arial"/>
          <w:sz w:val="20"/>
          <w:szCs w:val="20"/>
          <w:color w:val="auto"/>
        </w:rPr>
        <w:t>específicos na área da CTN de que depende.</w:t>
      </w:r>
    </w:p>
    <w:p>
      <w:pPr>
        <w:sectPr>
          <w:pgSz w:w="11900" w:h="16838" w:orient="portrait"/>
          <w:cols w:equalWidth="0" w:num="2">
            <w:col w:w="5190" w:space="720"/>
            <w:col w:w="4630"/>
          </w:cols>
          <w:pgMar w:left="680" w:top="803" w:right="686" w:bottom="1440" w:gutter="0" w:footer="0" w:header="0"/>
          <w:type w:val="continuous"/>
        </w:sectPr>
      </w:pPr>
    </w:p>
    <w:bookmarkStart w:id="7" w:name="page8"/>
    <w:bookmarkEnd w:id="7"/>
    <w:p>
      <w:pPr>
        <w:spacing w:after="0"/>
        <w:tabs>
          <w:tab w:leader="none" w:pos="8440" w:val="left"/>
        </w:tabs>
        <w:rPr>
          <w:sz w:val="20"/>
          <w:szCs w:val="20"/>
          <w:color w:val="auto"/>
        </w:rPr>
      </w:pPr>
      <w:r>
        <w:rPr>
          <w:rFonts w:ascii="Times New Roman" w:cs="Times New Roman" w:eastAsia="Times New Roman" w:hAnsi="Times New Roman"/>
          <w:sz w:val="20"/>
          <w:szCs w:val="20"/>
          <w:color w:val="auto"/>
        </w:rPr>
        <w:t>352</w:t>
      </w:r>
      <w:r>
        <w:rPr>
          <w:sz w:val="20"/>
          <w:szCs w:val="20"/>
          <w:color w:val="auto"/>
        </w:rPr>
        <w:tab/>
      </w:r>
      <w:r>
        <w:rPr>
          <w:rFonts w:ascii="Times New Roman" w:cs="Times New Roman" w:eastAsia="Times New Roman" w:hAnsi="Times New Roman"/>
          <w:sz w:val="20"/>
          <w:szCs w:val="20"/>
          <w:i w:val="1"/>
          <w:iCs w:val="1"/>
          <w:color w:val="auto"/>
        </w:rPr>
        <w:t>I SÉRIE — NÚMERO 50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36830</wp:posOffset>
                </wp:positionV>
                <wp:extent cx="667575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75755"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9pt" to="525.65pt,2.9pt" o:allowincell="f" strokecolor="#000000" strokeweight="0.5pt"/>
            </w:pict>
          </mc:Fallback>
        </mc:AlternateContent>
      </w:r>
    </w:p>
    <w:p>
      <w:pPr>
        <w:spacing w:after="0" w:line="288"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auto"/>
        </w:rPr>
        <w:t>Anexo II</w:t>
      </w:r>
    </w:p>
    <w:p>
      <w:pPr>
        <w:spacing w:after="0" w:line="139" w:lineRule="exact"/>
        <w:rPr>
          <w:sz w:val="20"/>
          <w:szCs w:val="20"/>
          <w:color w:val="auto"/>
        </w:rPr>
      </w:pPr>
    </w:p>
    <w:p>
      <w:pPr>
        <w:jc w:val="center"/>
        <w:ind w:right="-19"/>
        <w:spacing w:after="0"/>
        <w:rPr>
          <w:sz w:val="20"/>
          <w:szCs w:val="20"/>
          <w:color w:val="auto"/>
        </w:rPr>
      </w:pPr>
      <w:r>
        <w:rPr>
          <w:rFonts w:ascii="Arial" w:cs="Arial" w:eastAsia="Arial" w:hAnsi="Arial"/>
          <w:sz w:val="24"/>
          <w:szCs w:val="24"/>
          <w:b w:val="1"/>
          <w:bCs w:val="1"/>
          <w:color w:val="auto"/>
        </w:rPr>
        <w:t>Lista de produtos de controlo obrigatório</w:t>
      </w:r>
    </w:p>
    <w:p>
      <w:pPr>
        <w:spacing w:after="0" w:line="327" w:lineRule="exact"/>
        <w:rPr>
          <w:sz w:val="20"/>
          <w:szCs w:val="20"/>
          <w:color w:val="auto"/>
        </w:rPr>
      </w:pPr>
    </w:p>
    <w:p>
      <w:pPr>
        <w:ind w:left="1580"/>
        <w:spacing w:after="0"/>
        <w:rPr>
          <w:sz w:val="20"/>
          <w:szCs w:val="20"/>
          <w:color w:val="auto"/>
        </w:rPr>
      </w:pPr>
      <w:r>
        <w:rPr>
          <w:rFonts w:ascii="Arial" w:cs="Arial" w:eastAsia="Arial" w:hAnsi="Arial"/>
          <w:sz w:val="21"/>
          <w:szCs w:val="21"/>
          <w:b w:val="1"/>
          <w:bCs w:val="1"/>
          <w:color w:val="auto"/>
        </w:rPr>
        <w:t>Grupo I – Brinquedos, equipamento de prática de desporto, ginásio e recreação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739140</wp:posOffset>
                </wp:positionH>
                <wp:positionV relativeFrom="paragraph">
                  <wp:posOffset>-141605</wp:posOffset>
                </wp:positionV>
                <wp:extent cx="56515" cy="22479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515" cy="224790"/>
                        </a:xfrm>
                        <a:prstGeom prst="rect">
                          <a:avLst/>
                        </a:prstGeom>
                        <a:solidFill>
                          <a:srgbClr val="D9D9D9"/>
                        </a:solidFill>
                      </wps:spPr>
                      <wps:bodyPr/>
                    </wps:wsp>
                  </a:graphicData>
                </a:graphic>
              </wp:anchor>
            </w:drawing>
          </mc:Choice>
          <mc:Fallback>
            <w:pict>
              <v:rect id="Shape 14" o:spid="_x0000_s1039" style="position:absolute;margin-left:58.2pt;margin-top:-11.1499pt;width:4.45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6184900</wp:posOffset>
                </wp:positionH>
                <wp:positionV relativeFrom="paragraph">
                  <wp:posOffset>-141605</wp:posOffset>
                </wp:positionV>
                <wp:extent cx="56515" cy="22479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515" cy="224790"/>
                        </a:xfrm>
                        <a:prstGeom prst="rect">
                          <a:avLst/>
                        </a:prstGeom>
                        <a:solidFill>
                          <a:srgbClr val="D9D9D9"/>
                        </a:solidFill>
                      </wps:spPr>
                      <wps:bodyPr/>
                    </wps:wsp>
                  </a:graphicData>
                </a:graphic>
              </wp:anchor>
            </w:drawing>
          </mc:Choice>
          <mc:Fallback>
            <w:pict>
              <v:rect id="Shape 15" o:spid="_x0000_s1040" style="position:absolute;margin-left:487pt;margin-top:-11.1499pt;width:4.45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796290</wp:posOffset>
                </wp:positionH>
                <wp:positionV relativeFrom="paragraph">
                  <wp:posOffset>-140970</wp:posOffset>
                </wp:positionV>
                <wp:extent cx="5388610" cy="22479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88610" cy="224790"/>
                        </a:xfrm>
                        <a:prstGeom prst="rect">
                          <a:avLst/>
                        </a:prstGeom>
                        <a:solidFill>
                          <a:srgbClr val="D9D9D9"/>
                        </a:solidFill>
                      </wps:spPr>
                      <wps:bodyPr/>
                    </wps:wsp>
                  </a:graphicData>
                </a:graphic>
              </wp:anchor>
            </w:drawing>
          </mc:Choice>
          <mc:Fallback>
            <w:pict>
              <v:rect id="Shape 16" o:spid="_x0000_s1041" style="position:absolute;margin-left:62.7pt;margin-top:-11.0999pt;width:424.3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734060</wp:posOffset>
                </wp:positionH>
                <wp:positionV relativeFrom="paragraph">
                  <wp:posOffset>-144145</wp:posOffset>
                </wp:positionV>
                <wp:extent cx="551243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12435" cy="4763"/>
                        </a:xfrm>
                        <a:prstGeom prst="line">
                          <a:avLst/>
                        </a:prstGeom>
                        <a:solidFill>
                          <a:srgbClr val="FFFFFF"/>
                        </a:solidFill>
                        <a:ln w="5257">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8pt,-11.3499pt" to="491.85pt,-11.3499pt" o:allowincell="f" strokecolor="#000000" strokeweight="0.4139pt"/>
            </w:pict>
          </mc:Fallback>
        </mc:AlternateContent>
        <mc:AlternateContent>
          <mc:Choice Requires="wps">
            <w:drawing>
              <wp:anchor simplePos="0" relativeHeight="251657728" behindDoc="1" locked="0" layoutInCell="0" allowOverlap="1">
                <wp:simplePos x="0" y="0"/>
                <wp:positionH relativeFrom="column">
                  <wp:posOffset>736600</wp:posOffset>
                </wp:positionH>
                <wp:positionV relativeFrom="paragraph">
                  <wp:posOffset>-146685</wp:posOffset>
                </wp:positionV>
                <wp:extent cx="0" cy="6344285"/>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44285"/>
                        </a:xfrm>
                        <a:prstGeom prst="line">
                          <a:avLst/>
                        </a:prstGeom>
                        <a:solidFill>
                          <a:srgbClr val="FFFFFF"/>
                        </a:solidFill>
                        <a:ln w="5257">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8pt,-11.5499pt" to="58pt,488pt" o:allowincell="f" strokecolor="#000000" strokeweight="0.4139pt"/>
            </w:pict>
          </mc:Fallback>
        </mc:AlternateContent>
        <mc:AlternateContent>
          <mc:Choice Requires="wps">
            <w:drawing>
              <wp:anchor simplePos="0" relativeHeight="251657728" behindDoc="1" locked="0" layoutInCell="0" allowOverlap="1">
                <wp:simplePos x="0" y="0"/>
                <wp:positionH relativeFrom="column">
                  <wp:posOffset>6243955</wp:posOffset>
                </wp:positionH>
                <wp:positionV relativeFrom="paragraph">
                  <wp:posOffset>-146685</wp:posOffset>
                </wp:positionV>
                <wp:extent cx="0" cy="6344285"/>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344285"/>
                        </a:xfrm>
                        <a:prstGeom prst="line">
                          <a:avLst/>
                        </a:prstGeom>
                        <a:solidFill>
                          <a:srgbClr val="FFFFFF"/>
                        </a:solidFill>
                        <a:ln w="5244">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1.65pt,-11.5499pt" to="491.65pt,488pt" o:allowincell="f" strokecolor="#000000" strokeweight="0.4129pt"/>
            </w:pict>
          </mc:Fallback>
        </mc:AlternateContent>
      </w:r>
    </w:p>
    <w:p>
      <w:pPr>
        <w:spacing w:after="0" w:line="92" w:lineRule="exact"/>
        <w:rPr>
          <w:sz w:val="20"/>
          <w:szCs w:val="20"/>
          <w:color w:val="auto"/>
        </w:rPr>
      </w:pPr>
    </w:p>
    <w:tbl>
      <w:tblPr>
        <w:tblLayout w:type="fixed"/>
        <w:tblInd w:w="1160" w:type="dxa"/>
        <w:tblCellMar>
          <w:top w:w="0" w:type="dxa"/>
          <w:left w:w="0" w:type="dxa"/>
          <w:bottom w:w="0" w:type="dxa"/>
          <w:right w:w="0" w:type="dxa"/>
        </w:tblCellMar>
      </w:tblPr>
      <w:tr>
        <w:trPr>
          <w:trHeight w:val="294"/>
        </w:trPr>
        <w:tc>
          <w:tcPr>
            <w:tcW w:w="1100" w:type="dxa"/>
            <w:vAlign w:val="bottom"/>
            <w:tcBorders>
              <w:top w:val="single" w:sz="8" w:color="auto"/>
              <w:right w:val="single" w:sz="8" w:color="auto"/>
            </w:tcBorders>
          </w:tcPr>
          <w:p>
            <w:pPr>
              <w:jc w:val="center"/>
              <w:spacing w:after="0"/>
              <w:rPr>
                <w:sz w:val="20"/>
                <w:szCs w:val="20"/>
                <w:color w:val="auto"/>
              </w:rPr>
            </w:pPr>
            <w:r>
              <w:rPr>
                <w:rFonts w:ascii="Arial" w:cs="Arial" w:eastAsia="Arial" w:hAnsi="Arial"/>
                <w:sz w:val="21"/>
                <w:szCs w:val="21"/>
                <w:b w:val="1"/>
                <w:bCs w:val="1"/>
                <w:color w:val="auto"/>
                <w:w w:val="95"/>
              </w:rPr>
              <w:t>NP</w:t>
            </w:r>
          </w:p>
        </w:tc>
        <w:tc>
          <w:tcPr>
            <w:tcW w:w="4560" w:type="dxa"/>
            <w:vAlign w:val="bottom"/>
            <w:tcBorders>
              <w:top w:val="single" w:sz="8" w:color="auto"/>
              <w:right w:val="single" w:sz="8" w:color="auto"/>
            </w:tcBorders>
          </w:tcPr>
          <w:p>
            <w:pPr>
              <w:ind w:left="1200"/>
              <w:spacing w:after="0"/>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top w:val="single" w:sz="8" w:color="auto"/>
            </w:tcBorders>
            <w:gridSpan w:val="2"/>
          </w:tcPr>
          <w:p>
            <w:pPr>
              <w:jc w:val="center"/>
              <w:ind w:right="20"/>
              <w:spacing w:after="0"/>
              <w:rPr>
                <w:sz w:val="20"/>
                <w:szCs w:val="20"/>
                <w:color w:val="auto"/>
              </w:rPr>
            </w:pPr>
            <w:r>
              <w:rPr>
                <w:rFonts w:ascii="Arial" w:cs="Arial" w:eastAsia="Arial" w:hAnsi="Arial"/>
                <w:sz w:val="21"/>
                <w:szCs w:val="21"/>
                <w:b w:val="1"/>
                <w:bCs w:val="1"/>
                <w:color w:val="auto"/>
                <w:w w:val="96"/>
              </w:rPr>
              <w:t>Código HS</w:t>
            </w:r>
          </w:p>
        </w:tc>
      </w:tr>
      <w:tr>
        <w:trPr>
          <w:trHeight w:val="72"/>
        </w:trPr>
        <w:tc>
          <w:tcPr>
            <w:tcW w:w="1100" w:type="dxa"/>
            <w:vAlign w:val="bottom"/>
            <w:tcBorders>
              <w:bottom w:val="single" w:sz="8" w:color="auto"/>
              <w:right w:val="single" w:sz="8" w:color="auto"/>
            </w:tcBorders>
          </w:tcPr>
          <w:p>
            <w:pPr>
              <w:spacing w:after="0"/>
              <w:rPr>
                <w:sz w:val="6"/>
                <w:szCs w:val="6"/>
                <w:color w:val="auto"/>
              </w:rPr>
            </w:pPr>
          </w:p>
        </w:tc>
        <w:tc>
          <w:tcPr>
            <w:tcW w:w="4560" w:type="dxa"/>
            <w:vAlign w:val="bottom"/>
            <w:tcBorders>
              <w:bottom w:val="single" w:sz="8" w:color="auto"/>
              <w:right w:val="single" w:sz="8" w:color="auto"/>
            </w:tcBorders>
          </w:tcPr>
          <w:p>
            <w:pPr>
              <w:spacing w:after="0"/>
              <w:rPr>
                <w:sz w:val="6"/>
                <w:szCs w:val="6"/>
                <w:color w:val="auto"/>
              </w:rPr>
            </w:pPr>
          </w:p>
        </w:tc>
        <w:tc>
          <w:tcPr>
            <w:tcW w:w="3000" w:type="dxa"/>
            <w:vAlign w:val="bottom"/>
            <w:tcBorders>
              <w:bottom w:val="single" w:sz="8" w:color="auto"/>
            </w:tcBorders>
          </w:tcPr>
          <w:p>
            <w:pPr>
              <w:spacing w:after="0"/>
              <w:rPr>
                <w:sz w:val="6"/>
                <w:szCs w:val="6"/>
                <w:color w:val="auto"/>
              </w:rPr>
            </w:pPr>
          </w:p>
        </w:tc>
        <w:tc>
          <w:tcPr>
            <w:tcW w:w="20" w:type="dxa"/>
            <w:vAlign w:val="bottom"/>
            <w:tcBorders>
              <w:bottom w:val="single" w:sz="8" w:color="auto"/>
            </w:tcBorders>
          </w:tcPr>
          <w:p>
            <w:pPr>
              <w:spacing w:after="0"/>
              <w:rPr>
                <w:sz w:val="6"/>
                <w:szCs w:val="6"/>
                <w:color w:val="auto"/>
              </w:rPr>
            </w:pPr>
          </w:p>
        </w:tc>
      </w:tr>
      <w:tr>
        <w:trPr>
          <w:trHeight w:val="226"/>
        </w:trPr>
        <w:tc>
          <w:tcPr>
            <w:tcW w:w="110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9"/>
              </w:rPr>
              <w:t>I-01</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Brinquedos</w:t>
            </w:r>
          </w:p>
        </w:tc>
        <w:tc>
          <w:tcPr>
            <w:tcW w:w="3000" w:type="dxa"/>
            <w:vAlign w:val="bottom"/>
            <w:tcBorders>
              <w:bottom w:val="single" w:sz="8" w:color="auto"/>
            </w:tcBorders>
          </w:tcPr>
          <w:p>
            <w:pPr>
              <w:ind w:left="80"/>
              <w:spacing w:after="0" w:line="226" w:lineRule="exact"/>
              <w:rPr>
                <w:sz w:val="20"/>
                <w:szCs w:val="20"/>
                <w:color w:val="auto"/>
              </w:rPr>
            </w:pPr>
            <w:r>
              <w:rPr>
                <w:rFonts w:ascii="Arial" w:cs="Arial" w:eastAsia="Arial" w:hAnsi="Arial"/>
                <w:sz w:val="21"/>
                <w:szCs w:val="21"/>
                <w:color w:val="auto"/>
              </w:rPr>
              <w:t>9503, 9504, 9508, 3407</w:t>
            </w:r>
          </w:p>
        </w:tc>
        <w:tc>
          <w:tcPr>
            <w:tcW w:w="20" w:type="dxa"/>
            <w:vAlign w:val="bottom"/>
            <w:tcBorders>
              <w:bottom w:val="single" w:sz="8" w:color="auto"/>
            </w:tcBorders>
          </w:tcPr>
          <w:p>
            <w:pPr>
              <w:spacing w:after="0"/>
              <w:rPr>
                <w:sz w:val="19"/>
                <w:szCs w:val="19"/>
                <w:color w:val="auto"/>
              </w:rPr>
            </w:pPr>
          </w:p>
        </w:tc>
      </w:tr>
      <w:tr>
        <w:trPr>
          <w:trHeight w:val="208"/>
        </w:trPr>
        <w:tc>
          <w:tcPr>
            <w:tcW w:w="110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I-02</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Equipamento de prática de desporto, ginásio</w:t>
            </w:r>
          </w:p>
        </w:tc>
        <w:tc>
          <w:tcPr>
            <w:tcW w:w="3000" w:type="dxa"/>
            <w:vAlign w:val="bottom"/>
          </w:tcPr>
          <w:p>
            <w:pPr>
              <w:jc w:val="center"/>
              <w:spacing w:after="0" w:line="208" w:lineRule="exact"/>
              <w:rPr>
                <w:sz w:val="20"/>
                <w:szCs w:val="20"/>
                <w:color w:val="auto"/>
              </w:rPr>
            </w:pPr>
            <w:r>
              <w:rPr>
                <w:rFonts w:ascii="Arial" w:cs="Arial" w:eastAsia="Arial" w:hAnsi="Arial"/>
                <w:sz w:val="21"/>
                <w:szCs w:val="21"/>
                <w:color w:val="auto"/>
                <w:w w:val="98"/>
              </w:rPr>
              <w:t>9506</w:t>
            </w:r>
          </w:p>
        </w:tc>
        <w:tc>
          <w:tcPr>
            <w:tcW w:w="20" w:type="dxa"/>
            <w:vAlign w:val="bottom"/>
          </w:tcPr>
          <w:p>
            <w:pPr>
              <w:spacing w:after="0"/>
              <w:rPr>
                <w:sz w:val="18"/>
                <w:szCs w:val="18"/>
                <w:color w:val="auto"/>
              </w:rPr>
            </w:pPr>
          </w:p>
        </w:tc>
      </w:tr>
      <w:tr>
        <w:trPr>
          <w:trHeight w:val="256"/>
        </w:trPr>
        <w:tc>
          <w:tcPr>
            <w:tcW w:w="11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recreação</w:t>
            </w:r>
          </w:p>
        </w:tc>
        <w:tc>
          <w:tcPr>
            <w:tcW w:w="300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r>
      <w:tr>
        <w:trPr>
          <w:trHeight w:val="210"/>
        </w:trPr>
        <w:tc>
          <w:tcPr>
            <w:tcW w:w="1100" w:type="dxa"/>
            <w:vAlign w:val="bottom"/>
            <w:tcBorders>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w w:val="99"/>
              </w:rPr>
              <w:t>I-03</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Carrinho de bebé e outros produtos</w:t>
            </w:r>
          </w:p>
        </w:tc>
        <w:tc>
          <w:tcPr>
            <w:tcW w:w="3000" w:type="dxa"/>
            <w:vAlign w:val="bottom"/>
          </w:tcPr>
          <w:p>
            <w:pPr>
              <w:jc w:val="center"/>
              <w:spacing w:after="0" w:line="211" w:lineRule="exact"/>
              <w:rPr>
                <w:sz w:val="20"/>
                <w:szCs w:val="20"/>
                <w:color w:val="auto"/>
              </w:rPr>
            </w:pPr>
            <w:r>
              <w:rPr>
                <w:rFonts w:ascii="Arial" w:cs="Arial" w:eastAsia="Arial" w:hAnsi="Arial"/>
                <w:sz w:val="21"/>
                <w:szCs w:val="21"/>
                <w:color w:val="auto"/>
                <w:w w:val="98"/>
              </w:rPr>
              <w:t>8715</w:t>
            </w:r>
          </w:p>
        </w:tc>
        <w:tc>
          <w:tcPr>
            <w:tcW w:w="20" w:type="dxa"/>
            <w:vAlign w:val="bottom"/>
          </w:tcPr>
          <w:p>
            <w:pPr>
              <w:spacing w:after="0"/>
              <w:rPr>
                <w:sz w:val="18"/>
                <w:szCs w:val="18"/>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relacionados, incluindo berço, cadeira</w:t>
            </w:r>
          </w:p>
        </w:tc>
        <w:tc>
          <w:tcPr>
            <w:tcW w:w="30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balanço, sistema de retenção infantil</w:t>
            </w:r>
          </w:p>
        </w:tc>
        <w:tc>
          <w:tcPr>
            <w:tcW w:w="30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56"/>
        </w:trPr>
        <w:tc>
          <w:tcPr>
            <w:tcW w:w="11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ou cadeira de bebé veicular</w:t>
            </w:r>
          </w:p>
        </w:tc>
        <w:tc>
          <w:tcPr>
            <w:tcW w:w="300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r>
      <w:tr>
        <w:trPr>
          <w:trHeight w:val="208"/>
        </w:trPr>
        <w:tc>
          <w:tcPr>
            <w:tcW w:w="110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I-04</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Jogos ao ar livre e em recintos fechados</w:t>
            </w:r>
          </w:p>
        </w:tc>
        <w:tc>
          <w:tcPr>
            <w:tcW w:w="3000" w:type="dxa"/>
            <w:vAlign w:val="bottom"/>
          </w:tcPr>
          <w:p>
            <w:pPr>
              <w:ind w:left="80"/>
              <w:spacing w:after="0" w:line="208" w:lineRule="exact"/>
              <w:rPr>
                <w:sz w:val="20"/>
                <w:szCs w:val="20"/>
                <w:color w:val="auto"/>
              </w:rPr>
            </w:pPr>
            <w:r>
              <w:rPr>
                <w:rFonts w:ascii="Arial" w:cs="Arial" w:eastAsia="Arial" w:hAnsi="Arial"/>
                <w:sz w:val="21"/>
                <w:szCs w:val="21"/>
                <w:color w:val="auto"/>
              </w:rPr>
              <w:t>9504, 9505, 9506, 9507</w:t>
            </w:r>
          </w:p>
        </w:tc>
        <w:tc>
          <w:tcPr>
            <w:tcW w:w="20" w:type="dxa"/>
            <w:vAlign w:val="bottom"/>
          </w:tcPr>
          <w:p>
            <w:pPr>
              <w:spacing w:after="0"/>
              <w:rPr>
                <w:sz w:val="18"/>
                <w:szCs w:val="18"/>
                <w:color w:val="auto"/>
              </w:rPr>
            </w:pPr>
          </w:p>
        </w:tc>
      </w:tr>
      <w:tr>
        <w:trPr>
          <w:trHeight w:val="256"/>
        </w:trPr>
        <w:tc>
          <w:tcPr>
            <w:tcW w:w="11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outros produtos relacionados à recreação</w:t>
            </w:r>
          </w:p>
        </w:tc>
        <w:tc>
          <w:tcPr>
            <w:tcW w:w="300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r>
      <w:tr>
        <w:trPr>
          <w:trHeight w:val="275"/>
        </w:trPr>
        <w:tc>
          <w:tcPr>
            <w:tcW w:w="1100" w:type="dxa"/>
            <w:vAlign w:val="bottom"/>
            <w:tcBorders>
              <w:right w:val="single" w:sz="8" w:color="D9D9D9"/>
            </w:tcBorders>
            <w:shd w:val="clear" w:color="auto" w:fill="D9D9D9"/>
          </w:tcPr>
          <w:p>
            <w:pPr>
              <w:spacing w:after="0"/>
              <w:rPr>
                <w:sz w:val="23"/>
                <w:szCs w:val="23"/>
                <w:color w:val="auto"/>
              </w:rPr>
            </w:pPr>
          </w:p>
        </w:tc>
        <w:tc>
          <w:tcPr>
            <w:tcW w:w="4560" w:type="dxa"/>
            <w:vAlign w:val="bottom"/>
            <w:tcBorders>
              <w:right w:val="single" w:sz="8" w:color="D9D9D9"/>
            </w:tcBorders>
            <w:shd w:val="clear" w:color="auto" w:fill="D9D9D9"/>
          </w:tcPr>
          <w:p>
            <w:pPr>
              <w:ind w:left="800"/>
              <w:spacing w:after="0"/>
              <w:rPr>
                <w:sz w:val="20"/>
                <w:szCs w:val="20"/>
                <w:color w:val="auto"/>
              </w:rPr>
            </w:pPr>
            <w:r>
              <w:rPr>
                <w:rFonts w:ascii="Arial" w:cs="Arial" w:eastAsia="Arial" w:hAnsi="Arial"/>
                <w:sz w:val="21"/>
                <w:szCs w:val="21"/>
                <w:b w:val="1"/>
                <w:bCs w:val="1"/>
                <w:color w:val="auto"/>
              </w:rPr>
              <w:t>GRUPO II – Dispositivos eléctricos e</w:t>
            </w:r>
          </w:p>
        </w:tc>
        <w:tc>
          <w:tcPr>
            <w:tcW w:w="3000" w:type="dxa"/>
            <w:vAlign w:val="bottom"/>
            <w:shd w:val="clear" w:color="auto" w:fill="D9D9D9"/>
          </w:tcPr>
          <w:p>
            <w:pPr>
              <w:spacing w:after="0"/>
              <w:rPr>
                <w:sz w:val="20"/>
                <w:szCs w:val="20"/>
                <w:color w:val="auto"/>
              </w:rPr>
            </w:pPr>
            <w:r>
              <w:rPr>
                <w:rFonts w:ascii="Arial" w:cs="Arial" w:eastAsia="Arial" w:hAnsi="Arial"/>
                <w:sz w:val="21"/>
                <w:szCs w:val="21"/>
                <w:b w:val="1"/>
                <w:bCs w:val="1"/>
                <w:color w:val="auto"/>
              </w:rPr>
              <w:t>electrónicos</w:t>
            </w:r>
          </w:p>
        </w:tc>
        <w:tc>
          <w:tcPr>
            <w:tcW w:w="20" w:type="dxa"/>
            <w:vAlign w:val="bottom"/>
          </w:tcPr>
          <w:p>
            <w:pPr>
              <w:spacing w:after="0"/>
              <w:rPr>
                <w:sz w:val="23"/>
                <w:szCs w:val="23"/>
                <w:color w:val="auto"/>
              </w:rPr>
            </w:pPr>
          </w:p>
        </w:tc>
      </w:tr>
      <w:tr>
        <w:trPr>
          <w:trHeight w:val="69"/>
        </w:trPr>
        <w:tc>
          <w:tcPr>
            <w:tcW w:w="1100" w:type="dxa"/>
            <w:vAlign w:val="bottom"/>
            <w:tcBorders>
              <w:bottom w:val="single" w:sz="8" w:color="auto"/>
              <w:right w:val="single" w:sz="8" w:color="D9D9D9"/>
            </w:tcBorders>
            <w:shd w:val="clear" w:color="auto" w:fill="D9D9D9"/>
          </w:tcPr>
          <w:p>
            <w:pPr>
              <w:spacing w:after="0"/>
              <w:rPr>
                <w:sz w:val="6"/>
                <w:szCs w:val="6"/>
                <w:color w:val="auto"/>
              </w:rPr>
            </w:pPr>
          </w:p>
        </w:tc>
        <w:tc>
          <w:tcPr>
            <w:tcW w:w="4560" w:type="dxa"/>
            <w:vAlign w:val="bottom"/>
            <w:tcBorders>
              <w:bottom w:val="single" w:sz="8" w:color="auto"/>
              <w:right w:val="single" w:sz="8" w:color="D9D9D9"/>
            </w:tcBorders>
            <w:shd w:val="clear" w:color="auto" w:fill="D9D9D9"/>
          </w:tcPr>
          <w:p>
            <w:pPr>
              <w:spacing w:after="0"/>
              <w:rPr>
                <w:sz w:val="6"/>
                <w:szCs w:val="6"/>
                <w:color w:val="auto"/>
              </w:rPr>
            </w:pPr>
          </w:p>
        </w:tc>
        <w:tc>
          <w:tcPr>
            <w:tcW w:w="3000" w:type="dxa"/>
            <w:vAlign w:val="bottom"/>
            <w:tcBorders>
              <w:bottom w:val="single" w:sz="8" w:color="auto"/>
            </w:tcBorders>
            <w:shd w:val="clear" w:color="auto" w:fill="D9D9D9"/>
          </w:tcPr>
          <w:p>
            <w:pPr>
              <w:spacing w:after="0"/>
              <w:rPr>
                <w:sz w:val="6"/>
                <w:szCs w:val="6"/>
                <w:color w:val="auto"/>
              </w:rPr>
            </w:pPr>
          </w:p>
        </w:tc>
        <w:tc>
          <w:tcPr>
            <w:tcW w:w="20" w:type="dxa"/>
            <w:vAlign w:val="bottom"/>
            <w:tcBorders>
              <w:bottom w:val="single" w:sz="8" w:color="auto"/>
            </w:tcBorders>
          </w:tcPr>
          <w:p>
            <w:pPr>
              <w:spacing w:after="0"/>
              <w:rPr>
                <w:sz w:val="6"/>
                <w:szCs w:val="6"/>
                <w:color w:val="auto"/>
              </w:rPr>
            </w:pPr>
          </w:p>
        </w:tc>
      </w:tr>
      <w:tr>
        <w:trPr>
          <w:trHeight w:val="275"/>
        </w:trPr>
        <w:tc>
          <w:tcPr>
            <w:tcW w:w="1100" w:type="dxa"/>
            <w:vAlign w:val="bottom"/>
            <w:tcBorders>
              <w:right w:val="single" w:sz="8" w:color="auto"/>
            </w:tcBorders>
          </w:tcPr>
          <w:p>
            <w:pPr>
              <w:jc w:val="center"/>
              <w:spacing w:after="0"/>
              <w:rPr>
                <w:sz w:val="20"/>
                <w:szCs w:val="20"/>
                <w:color w:val="auto"/>
              </w:rPr>
            </w:pPr>
            <w:r>
              <w:rPr>
                <w:rFonts w:ascii="Arial" w:cs="Arial" w:eastAsia="Arial" w:hAnsi="Arial"/>
                <w:sz w:val="21"/>
                <w:szCs w:val="21"/>
                <w:b w:val="1"/>
                <w:bCs w:val="1"/>
                <w:color w:val="auto"/>
                <w:w w:val="95"/>
              </w:rPr>
              <w:t>NP</w:t>
            </w:r>
          </w:p>
        </w:tc>
        <w:tc>
          <w:tcPr>
            <w:tcW w:w="4560" w:type="dxa"/>
            <w:vAlign w:val="bottom"/>
            <w:tcBorders>
              <w:right w:val="single" w:sz="8" w:color="auto"/>
            </w:tcBorders>
          </w:tcPr>
          <w:p>
            <w:pPr>
              <w:ind w:left="1200"/>
              <w:spacing w:after="0"/>
              <w:rPr>
                <w:sz w:val="20"/>
                <w:szCs w:val="20"/>
                <w:color w:val="auto"/>
              </w:rPr>
            </w:pPr>
            <w:r>
              <w:rPr>
                <w:rFonts w:ascii="Arial" w:cs="Arial" w:eastAsia="Arial" w:hAnsi="Arial"/>
                <w:sz w:val="21"/>
                <w:szCs w:val="21"/>
                <w:b w:val="1"/>
                <w:bCs w:val="1"/>
                <w:color w:val="auto"/>
              </w:rPr>
              <w:t>Descrição do produto</w:t>
            </w:r>
          </w:p>
        </w:tc>
        <w:tc>
          <w:tcPr>
            <w:tcW w:w="3000" w:type="dxa"/>
            <w:vAlign w:val="bottom"/>
          </w:tcPr>
          <w:p>
            <w:pPr>
              <w:jc w:val="center"/>
              <w:spacing w:after="0"/>
              <w:rPr>
                <w:sz w:val="20"/>
                <w:szCs w:val="20"/>
                <w:color w:val="auto"/>
              </w:rPr>
            </w:pPr>
            <w:r>
              <w:rPr>
                <w:rFonts w:ascii="Arial" w:cs="Arial" w:eastAsia="Arial" w:hAnsi="Arial"/>
                <w:sz w:val="21"/>
                <w:szCs w:val="21"/>
                <w:b w:val="1"/>
                <w:bCs w:val="1"/>
                <w:color w:val="auto"/>
                <w:w w:val="96"/>
              </w:rPr>
              <w:t>Código HS</w:t>
            </w:r>
          </w:p>
        </w:tc>
        <w:tc>
          <w:tcPr>
            <w:tcW w:w="20" w:type="dxa"/>
            <w:vAlign w:val="bottom"/>
          </w:tcPr>
          <w:p>
            <w:pPr>
              <w:spacing w:after="0"/>
              <w:rPr>
                <w:sz w:val="23"/>
                <w:szCs w:val="23"/>
                <w:color w:val="auto"/>
              </w:rPr>
            </w:pPr>
          </w:p>
        </w:tc>
      </w:tr>
      <w:tr>
        <w:trPr>
          <w:trHeight w:val="71"/>
        </w:trPr>
        <w:tc>
          <w:tcPr>
            <w:tcW w:w="1100" w:type="dxa"/>
            <w:vAlign w:val="bottom"/>
            <w:tcBorders>
              <w:bottom w:val="single" w:sz="8" w:color="auto"/>
              <w:right w:val="single" w:sz="8" w:color="auto"/>
            </w:tcBorders>
          </w:tcPr>
          <w:p>
            <w:pPr>
              <w:spacing w:after="0"/>
              <w:rPr>
                <w:sz w:val="6"/>
                <w:szCs w:val="6"/>
                <w:color w:val="auto"/>
              </w:rPr>
            </w:pPr>
          </w:p>
        </w:tc>
        <w:tc>
          <w:tcPr>
            <w:tcW w:w="4560" w:type="dxa"/>
            <w:vAlign w:val="bottom"/>
            <w:tcBorders>
              <w:bottom w:val="single" w:sz="8" w:color="auto"/>
              <w:right w:val="single" w:sz="8" w:color="auto"/>
            </w:tcBorders>
          </w:tcPr>
          <w:p>
            <w:pPr>
              <w:spacing w:after="0"/>
              <w:rPr>
                <w:sz w:val="6"/>
                <w:szCs w:val="6"/>
                <w:color w:val="auto"/>
              </w:rPr>
            </w:pPr>
          </w:p>
        </w:tc>
        <w:tc>
          <w:tcPr>
            <w:tcW w:w="3000" w:type="dxa"/>
            <w:vAlign w:val="bottom"/>
            <w:tcBorders>
              <w:bottom w:val="single" w:sz="8" w:color="auto"/>
            </w:tcBorders>
          </w:tcPr>
          <w:p>
            <w:pPr>
              <w:spacing w:after="0"/>
              <w:rPr>
                <w:sz w:val="6"/>
                <w:szCs w:val="6"/>
                <w:color w:val="auto"/>
              </w:rPr>
            </w:pPr>
          </w:p>
        </w:tc>
        <w:tc>
          <w:tcPr>
            <w:tcW w:w="20" w:type="dxa"/>
            <w:vAlign w:val="bottom"/>
            <w:tcBorders>
              <w:bottom w:val="single" w:sz="8" w:color="auto"/>
            </w:tcBorders>
          </w:tcPr>
          <w:p>
            <w:pPr>
              <w:spacing w:after="0"/>
              <w:rPr>
                <w:sz w:val="6"/>
                <w:szCs w:val="6"/>
                <w:color w:val="auto"/>
              </w:rPr>
            </w:pPr>
          </w:p>
        </w:tc>
      </w:tr>
      <w:tr>
        <w:trPr>
          <w:trHeight w:val="208"/>
        </w:trPr>
        <w:tc>
          <w:tcPr>
            <w:tcW w:w="110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II-01</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Aparelhos áudio, vídeo e aparelhos</w:t>
            </w:r>
          </w:p>
        </w:tc>
        <w:tc>
          <w:tcPr>
            <w:tcW w:w="3000" w:type="dxa"/>
            <w:vAlign w:val="bottom"/>
          </w:tcPr>
          <w:p>
            <w:pPr>
              <w:ind w:left="80"/>
              <w:spacing w:after="0" w:line="208" w:lineRule="exact"/>
              <w:rPr>
                <w:sz w:val="20"/>
                <w:szCs w:val="20"/>
                <w:color w:val="auto"/>
              </w:rPr>
            </w:pPr>
            <w:r>
              <w:rPr>
                <w:rFonts w:ascii="Arial" w:cs="Arial" w:eastAsia="Arial" w:hAnsi="Arial"/>
                <w:sz w:val="21"/>
                <w:szCs w:val="21"/>
                <w:color w:val="auto"/>
              </w:rPr>
              <w:t>7011.20, 8518, 8519, 8521,</w:t>
            </w:r>
          </w:p>
        </w:tc>
        <w:tc>
          <w:tcPr>
            <w:tcW w:w="20" w:type="dxa"/>
            <w:vAlign w:val="bottom"/>
          </w:tcPr>
          <w:p>
            <w:pPr>
              <w:spacing w:after="0"/>
              <w:rPr>
                <w:sz w:val="18"/>
                <w:szCs w:val="18"/>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electrónicos semelhantes</w:t>
            </w:r>
          </w:p>
        </w:tc>
        <w:tc>
          <w:tcPr>
            <w:tcW w:w="3000" w:type="dxa"/>
            <w:vAlign w:val="bottom"/>
          </w:tcPr>
          <w:p>
            <w:pPr>
              <w:ind w:left="80"/>
              <w:spacing w:after="0" w:line="238" w:lineRule="exact"/>
              <w:rPr>
                <w:sz w:val="20"/>
                <w:szCs w:val="20"/>
                <w:color w:val="auto"/>
              </w:rPr>
            </w:pPr>
            <w:r>
              <w:rPr>
                <w:rFonts w:ascii="Arial" w:cs="Arial" w:eastAsia="Arial" w:hAnsi="Arial"/>
                <w:sz w:val="21"/>
                <w:szCs w:val="21"/>
                <w:color w:val="auto"/>
              </w:rPr>
              <w:t>8522, 8523, 8527, 8528.41,</w:t>
            </w:r>
          </w:p>
        </w:tc>
        <w:tc>
          <w:tcPr>
            <w:tcW w:w="20" w:type="dxa"/>
            <w:vAlign w:val="bottom"/>
          </w:tcPr>
          <w:p>
            <w:pPr>
              <w:spacing w:after="0"/>
              <w:rPr>
                <w:sz w:val="20"/>
                <w:szCs w:val="20"/>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00" w:type="dxa"/>
            <w:vAlign w:val="bottom"/>
          </w:tcPr>
          <w:p>
            <w:pPr>
              <w:ind w:left="80"/>
              <w:spacing w:after="0" w:line="238" w:lineRule="exact"/>
              <w:rPr>
                <w:sz w:val="20"/>
                <w:szCs w:val="20"/>
                <w:color w:val="auto"/>
              </w:rPr>
            </w:pPr>
            <w:r>
              <w:rPr>
                <w:rFonts w:ascii="Arial" w:cs="Arial" w:eastAsia="Arial" w:hAnsi="Arial"/>
                <w:sz w:val="21"/>
                <w:szCs w:val="21"/>
                <w:color w:val="auto"/>
              </w:rPr>
              <w:t>8528.71, 8528.72, 8528.73,</w:t>
            </w:r>
          </w:p>
        </w:tc>
        <w:tc>
          <w:tcPr>
            <w:tcW w:w="20" w:type="dxa"/>
            <w:vAlign w:val="bottom"/>
          </w:tcPr>
          <w:p>
            <w:pPr>
              <w:spacing w:after="0"/>
              <w:rPr>
                <w:sz w:val="20"/>
                <w:szCs w:val="20"/>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00" w:type="dxa"/>
            <w:vAlign w:val="bottom"/>
          </w:tcPr>
          <w:p>
            <w:pPr>
              <w:ind w:left="80"/>
              <w:spacing w:after="0" w:line="238" w:lineRule="exact"/>
              <w:rPr>
                <w:sz w:val="20"/>
                <w:szCs w:val="20"/>
                <w:color w:val="auto"/>
              </w:rPr>
            </w:pPr>
            <w:r>
              <w:rPr>
                <w:rFonts w:ascii="Arial" w:cs="Arial" w:eastAsia="Arial" w:hAnsi="Arial"/>
                <w:sz w:val="21"/>
                <w:szCs w:val="21"/>
                <w:color w:val="auto"/>
              </w:rPr>
              <w:t>8529, 8540.11-8540.60,</w:t>
            </w:r>
          </w:p>
        </w:tc>
        <w:tc>
          <w:tcPr>
            <w:tcW w:w="20" w:type="dxa"/>
            <w:vAlign w:val="bottom"/>
          </w:tcPr>
          <w:p>
            <w:pPr>
              <w:spacing w:after="0"/>
              <w:rPr>
                <w:sz w:val="20"/>
                <w:szCs w:val="20"/>
                <w:color w:val="auto"/>
              </w:rPr>
            </w:pPr>
          </w:p>
        </w:tc>
      </w:tr>
      <w:tr>
        <w:trPr>
          <w:trHeight w:val="256"/>
        </w:trPr>
        <w:tc>
          <w:tcPr>
            <w:tcW w:w="11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00" w:type="dxa"/>
            <w:vAlign w:val="bottom"/>
            <w:tcBorders>
              <w:bottom w:val="single" w:sz="8" w:color="auto"/>
            </w:tcBorders>
          </w:tcPr>
          <w:p>
            <w:pPr>
              <w:ind w:left="80"/>
              <w:spacing w:after="0"/>
              <w:rPr>
                <w:sz w:val="20"/>
                <w:szCs w:val="20"/>
                <w:color w:val="auto"/>
              </w:rPr>
            </w:pPr>
            <w:r>
              <w:rPr>
                <w:rFonts w:ascii="Arial" w:cs="Arial" w:eastAsia="Arial" w:hAnsi="Arial"/>
                <w:sz w:val="21"/>
                <w:szCs w:val="21"/>
                <w:color w:val="auto"/>
              </w:rPr>
              <w:t>9007.20, 9007.92, 9008, 9207</w:t>
            </w:r>
          </w:p>
        </w:tc>
        <w:tc>
          <w:tcPr>
            <w:tcW w:w="20" w:type="dxa"/>
            <w:vAlign w:val="bottom"/>
            <w:tcBorders>
              <w:bottom w:val="single" w:sz="8" w:color="auto"/>
            </w:tcBorders>
          </w:tcPr>
          <w:p>
            <w:pPr>
              <w:spacing w:after="0"/>
              <w:rPr>
                <w:sz w:val="22"/>
                <w:szCs w:val="22"/>
                <w:color w:val="auto"/>
              </w:rPr>
            </w:pPr>
          </w:p>
        </w:tc>
      </w:tr>
      <w:tr>
        <w:trPr>
          <w:trHeight w:val="208"/>
        </w:trPr>
        <w:tc>
          <w:tcPr>
            <w:tcW w:w="110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II-02</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Ferros eléctricos de engomar, máquinas de</w:t>
            </w:r>
          </w:p>
        </w:tc>
        <w:tc>
          <w:tcPr>
            <w:tcW w:w="3000" w:type="dxa"/>
            <w:vAlign w:val="bottom"/>
          </w:tcPr>
          <w:p>
            <w:pPr>
              <w:ind w:left="80"/>
              <w:spacing w:after="0" w:line="208" w:lineRule="exact"/>
              <w:rPr>
                <w:sz w:val="20"/>
                <w:szCs w:val="20"/>
                <w:color w:val="auto"/>
              </w:rPr>
            </w:pPr>
            <w:r>
              <w:rPr>
                <w:rFonts w:ascii="Arial" w:cs="Arial" w:eastAsia="Arial" w:hAnsi="Arial"/>
                <w:sz w:val="21"/>
                <w:szCs w:val="21"/>
                <w:color w:val="auto"/>
              </w:rPr>
              <w:t>8516.40, 8451.30</w:t>
            </w:r>
          </w:p>
        </w:tc>
        <w:tc>
          <w:tcPr>
            <w:tcW w:w="20" w:type="dxa"/>
            <w:vAlign w:val="bottom"/>
          </w:tcPr>
          <w:p>
            <w:pPr>
              <w:spacing w:after="0"/>
              <w:rPr>
                <w:sz w:val="18"/>
                <w:szCs w:val="18"/>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passar e prensas incluindo máquinas de</w:t>
            </w:r>
          </w:p>
        </w:tc>
        <w:tc>
          <w:tcPr>
            <w:tcW w:w="30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passar e prensas a vapor para prensas de</w:t>
            </w:r>
          </w:p>
        </w:tc>
        <w:tc>
          <w:tcPr>
            <w:tcW w:w="30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roupas (incluindo prensas de fusão), ferros de</w:t>
            </w:r>
          </w:p>
        </w:tc>
        <w:tc>
          <w:tcPr>
            <w:tcW w:w="30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engomar de todos os tipos, domésticos ou para</w:t>
            </w:r>
          </w:p>
        </w:tc>
        <w:tc>
          <w:tcPr>
            <w:tcW w:w="30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56"/>
        </w:trPr>
        <w:tc>
          <w:tcPr>
            <w:tcW w:w="11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alfaiates, etc.</w:t>
            </w:r>
          </w:p>
        </w:tc>
        <w:tc>
          <w:tcPr>
            <w:tcW w:w="300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r>
      <w:tr>
        <w:trPr>
          <w:trHeight w:val="208"/>
        </w:trPr>
        <w:tc>
          <w:tcPr>
            <w:tcW w:w="110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II-03</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Máquinas de lavar louça (domésticas</w:t>
            </w:r>
          </w:p>
        </w:tc>
        <w:tc>
          <w:tcPr>
            <w:tcW w:w="3000" w:type="dxa"/>
            <w:vAlign w:val="bottom"/>
          </w:tcPr>
          <w:p>
            <w:pPr>
              <w:ind w:left="80"/>
              <w:spacing w:after="0" w:line="208" w:lineRule="exact"/>
              <w:rPr>
                <w:sz w:val="20"/>
                <w:szCs w:val="20"/>
                <w:color w:val="auto"/>
              </w:rPr>
            </w:pPr>
            <w:r>
              <w:rPr>
                <w:rFonts w:ascii="Arial" w:cs="Arial" w:eastAsia="Arial" w:hAnsi="Arial"/>
                <w:sz w:val="21"/>
                <w:szCs w:val="21"/>
                <w:color w:val="auto"/>
              </w:rPr>
              <w:t>8422.11, 8422.19</w:t>
            </w:r>
          </w:p>
        </w:tc>
        <w:tc>
          <w:tcPr>
            <w:tcW w:w="20" w:type="dxa"/>
            <w:vAlign w:val="bottom"/>
          </w:tcPr>
          <w:p>
            <w:pPr>
              <w:spacing w:after="0"/>
              <w:rPr>
                <w:sz w:val="18"/>
                <w:szCs w:val="18"/>
                <w:color w:val="auto"/>
              </w:rPr>
            </w:pPr>
          </w:p>
        </w:tc>
      </w:tr>
      <w:tr>
        <w:trPr>
          <w:trHeight w:val="256"/>
        </w:trPr>
        <w:tc>
          <w:tcPr>
            <w:tcW w:w="11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ou industriais)</w:t>
            </w:r>
          </w:p>
        </w:tc>
        <w:tc>
          <w:tcPr>
            <w:tcW w:w="300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r>
      <w:tr>
        <w:trPr>
          <w:trHeight w:val="210"/>
        </w:trPr>
        <w:tc>
          <w:tcPr>
            <w:tcW w:w="1100" w:type="dxa"/>
            <w:vAlign w:val="bottom"/>
            <w:tcBorders>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w w:val="95"/>
              </w:rPr>
              <w:t>II-04</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Fornos de padaria e máquinas para cozinhar</w:t>
            </w:r>
          </w:p>
        </w:tc>
        <w:tc>
          <w:tcPr>
            <w:tcW w:w="3000" w:type="dxa"/>
            <w:vAlign w:val="bottom"/>
          </w:tcPr>
          <w:p>
            <w:pPr>
              <w:ind w:left="80"/>
              <w:spacing w:after="0" w:line="211" w:lineRule="exact"/>
              <w:rPr>
                <w:sz w:val="20"/>
                <w:szCs w:val="20"/>
                <w:color w:val="auto"/>
              </w:rPr>
            </w:pPr>
            <w:r>
              <w:rPr>
                <w:rFonts w:ascii="Arial" w:cs="Arial" w:eastAsia="Arial" w:hAnsi="Arial"/>
                <w:sz w:val="21"/>
                <w:szCs w:val="21"/>
                <w:color w:val="auto"/>
              </w:rPr>
              <w:t>8417.20, 8419.81</w:t>
            </w:r>
          </w:p>
        </w:tc>
        <w:tc>
          <w:tcPr>
            <w:tcW w:w="20" w:type="dxa"/>
            <w:vAlign w:val="bottom"/>
          </w:tcPr>
          <w:p>
            <w:pPr>
              <w:spacing w:after="0"/>
              <w:rPr>
                <w:sz w:val="18"/>
                <w:szCs w:val="18"/>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aquecer incluindo máquinas para</w:t>
            </w:r>
          </w:p>
        </w:tc>
        <w:tc>
          <w:tcPr>
            <w:tcW w:w="30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36"/>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6" w:lineRule="exact"/>
              <w:rPr>
                <w:sz w:val="20"/>
                <w:szCs w:val="20"/>
                <w:color w:val="auto"/>
              </w:rPr>
            </w:pPr>
            <w:r>
              <w:rPr>
                <w:rFonts w:ascii="Arial" w:cs="Arial" w:eastAsia="Arial" w:hAnsi="Arial"/>
                <w:sz w:val="21"/>
                <w:szCs w:val="21"/>
                <w:color w:val="auto"/>
              </w:rPr>
              <w:t>preparação de bebidas quentes, para</w:t>
            </w:r>
          </w:p>
        </w:tc>
        <w:tc>
          <w:tcPr>
            <w:tcW w:w="30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56"/>
        </w:trPr>
        <w:tc>
          <w:tcPr>
            <w:tcW w:w="11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cozimento ou aquecimento de alimentos.</w:t>
            </w:r>
          </w:p>
        </w:tc>
        <w:tc>
          <w:tcPr>
            <w:tcW w:w="300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r>
      <w:tr>
        <w:trPr>
          <w:trHeight w:val="210"/>
        </w:trPr>
        <w:tc>
          <w:tcPr>
            <w:tcW w:w="1100" w:type="dxa"/>
            <w:vAlign w:val="bottom"/>
            <w:tcBorders>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w w:val="95"/>
              </w:rPr>
              <w:t>II-05</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Máquinas de lavar e produtos semelhantes,</w:t>
            </w:r>
          </w:p>
        </w:tc>
        <w:tc>
          <w:tcPr>
            <w:tcW w:w="3000" w:type="dxa"/>
            <w:vAlign w:val="bottom"/>
          </w:tcPr>
          <w:p>
            <w:pPr>
              <w:ind w:left="80"/>
              <w:spacing w:after="0" w:line="211" w:lineRule="exact"/>
              <w:rPr>
                <w:sz w:val="20"/>
                <w:szCs w:val="20"/>
                <w:color w:val="auto"/>
              </w:rPr>
            </w:pPr>
            <w:r>
              <w:rPr>
                <w:rFonts w:ascii="Arial" w:cs="Arial" w:eastAsia="Arial" w:hAnsi="Arial"/>
                <w:sz w:val="21"/>
                <w:szCs w:val="21"/>
                <w:color w:val="auto"/>
              </w:rPr>
              <w:t>8450, 8421.12, 8451.80</w:t>
            </w:r>
          </w:p>
        </w:tc>
        <w:tc>
          <w:tcPr>
            <w:tcW w:w="20" w:type="dxa"/>
            <w:vAlign w:val="bottom"/>
          </w:tcPr>
          <w:p>
            <w:pPr>
              <w:spacing w:after="0"/>
              <w:rPr>
                <w:sz w:val="18"/>
                <w:szCs w:val="18"/>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máquinas de lavar domésticas ou de</w:t>
            </w:r>
          </w:p>
        </w:tc>
        <w:tc>
          <w:tcPr>
            <w:tcW w:w="30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lavandaria, máquinas que lavam e secam</w:t>
            </w:r>
          </w:p>
        </w:tc>
        <w:tc>
          <w:tcPr>
            <w:tcW w:w="30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produtos relacionados, extractores</w:t>
            </w:r>
          </w:p>
        </w:tc>
        <w:tc>
          <w:tcPr>
            <w:tcW w:w="300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56"/>
        </w:trPr>
        <w:tc>
          <w:tcPr>
            <w:tcW w:w="11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giratórios e secadores)</w:t>
            </w:r>
          </w:p>
        </w:tc>
        <w:tc>
          <w:tcPr>
            <w:tcW w:w="300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r>
      <w:tr>
        <w:trPr>
          <w:trHeight w:val="208"/>
        </w:trPr>
        <w:tc>
          <w:tcPr>
            <w:tcW w:w="110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II-06</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Máquinas de barbear, cortar cabelo e</w:t>
            </w:r>
          </w:p>
        </w:tc>
        <w:tc>
          <w:tcPr>
            <w:tcW w:w="3000" w:type="dxa"/>
            <w:vAlign w:val="bottom"/>
          </w:tcPr>
          <w:p>
            <w:pPr>
              <w:ind w:left="80"/>
              <w:spacing w:after="0" w:line="208" w:lineRule="exact"/>
              <w:rPr>
                <w:sz w:val="20"/>
                <w:szCs w:val="20"/>
                <w:color w:val="auto"/>
              </w:rPr>
            </w:pPr>
            <w:r>
              <w:rPr>
                <w:rFonts w:ascii="Arial" w:cs="Arial" w:eastAsia="Arial" w:hAnsi="Arial"/>
                <w:sz w:val="21"/>
                <w:szCs w:val="21"/>
                <w:color w:val="auto"/>
              </w:rPr>
              <w:t>8510</w:t>
            </w:r>
          </w:p>
        </w:tc>
        <w:tc>
          <w:tcPr>
            <w:tcW w:w="20" w:type="dxa"/>
            <w:vAlign w:val="bottom"/>
          </w:tcPr>
          <w:p>
            <w:pPr>
              <w:spacing w:after="0"/>
              <w:rPr>
                <w:sz w:val="18"/>
                <w:szCs w:val="18"/>
                <w:color w:val="auto"/>
              </w:rPr>
            </w:pPr>
          </w:p>
        </w:tc>
      </w:tr>
      <w:tr>
        <w:trPr>
          <w:trHeight w:val="256"/>
        </w:trPr>
        <w:tc>
          <w:tcPr>
            <w:tcW w:w="11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aparelhos análogos</w:t>
            </w:r>
          </w:p>
        </w:tc>
        <w:tc>
          <w:tcPr>
            <w:tcW w:w="300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r>
      <w:tr>
        <w:trPr>
          <w:trHeight w:val="208"/>
        </w:trPr>
        <w:tc>
          <w:tcPr>
            <w:tcW w:w="110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II-07</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Churrasqueiras, torradeiras e aparelhos de</w:t>
            </w:r>
          </w:p>
        </w:tc>
        <w:tc>
          <w:tcPr>
            <w:tcW w:w="3000" w:type="dxa"/>
            <w:vAlign w:val="bottom"/>
          </w:tcPr>
          <w:p>
            <w:pPr>
              <w:ind w:left="80"/>
              <w:spacing w:after="0" w:line="208" w:lineRule="exact"/>
              <w:rPr>
                <w:sz w:val="20"/>
                <w:szCs w:val="20"/>
                <w:color w:val="auto"/>
              </w:rPr>
            </w:pPr>
            <w:r>
              <w:rPr>
                <w:rFonts w:ascii="Arial" w:cs="Arial" w:eastAsia="Arial" w:hAnsi="Arial"/>
                <w:sz w:val="21"/>
                <w:szCs w:val="21"/>
                <w:color w:val="auto"/>
              </w:rPr>
              <w:t>8516</w:t>
            </w:r>
          </w:p>
        </w:tc>
        <w:tc>
          <w:tcPr>
            <w:tcW w:w="20" w:type="dxa"/>
            <w:vAlign w:val="bottom"/>
          </w:tcPr>
          <w:p>
            <w:pPr>
              <w:spacing w:after="0"/>
              <w:rPr>
                <w:sz w:val="18"/>
                <w:szCs w:val="18"/>
                <w:color w:val="auto"/>
              </w:rPr>
            </w:pPr>
          </w:p>
        </w:tc>
      </w:tr>
      <w:tr>
        <w:trPr>
          <w:trHeight w:val="274"/>
        </w:trPr>
        <w:tc>
          <w:tcPr>
            <w:tcW w:w="110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cozinha portáteis semelhantes</w:t>
            </w:r>
          </w:p>
        </w:tc>
        <w:tc>
          <w:tcPr>
            <w:tcW w:w="3000" w:type="dxa"/>
            <w:vAlign w:val="bottom"/>
          </w:tcPr>
          <w:p>
            <w:pPr>
              <w:spacing w:after="0"/>
              <w:rPr>
                <w:sz w:val="23"/>
                <w:szCs w:val="23"/>
                <w:color w:val="auto"/>
              </w:rPr>
            </w:pPr>
          </w:p>
        </w:tc>
        <w:tc>
          <w:tcPr>
            <w:tcW w:w="20" w:type="dxa"/>
            <w:vAlign w:val="bottom"/>
          </w:tcPr>
          <w:p>
            <w:pPr>
              <w:spacing w:after="0"/>
              <w:rPr>
                <w:sz w:val="23"/>
                <w:szCs w:val="23"/>
                <w:color w:val="auto"/>
              </w:rPr>
            </w:pPr>
          </w:p>
        </w:tc>
      </w:tr>
      <w:tr>
        <w:trPr>
          <w:trHeight w:val="96"/>
        </w:trPr>
        <w:tc>
          <w:tcPr>
            <w:tcW w:w="1100" w:type="dxa"/>
            <w:vAlign w:val="bottom"/>
            <w:tcBorders>
              <w:right w:val="single" w:sz="8" w:color="auto"/>
            </w:tcBorders>
          </w:tcPr>
          <w:p>
            <w:pPr>
              <w:spacing w:after="0"/>
              <w:rPr>
                <w:sz w:val="8"/>
                <w:szCs w:val="8"/>
                <w:color w:val="auto"/>
              </w:rPr>
            </w:pPr>
          </w:p>
        </w:tc>
        <w:tc>
          <w:tcPr>
            <w:tcW w:w="4560" w:type="dxa"/>
            <w:vAlign w:val="bottom"/>
            <w:tcBorders>
              <w:right w:val="single" w:sz="8" w:color="auto"/>
            </w:tcBorders>
          </w:tcPr>
          <w:p>
            <w:pPr>
              <w:spacing w:after="0"/>
              <w:rPr>
                <w:sz w:val="8"/>
                <w:szCs w:val="8"/>
                <w:color w:val="auto"/>
              </w:rPr>
            </w:pPr>
          </w:p>
        </w:tc>
        <w:tc>
          <w:tcPr>
            <w:tcW w:w="3000" w:type="dxa"/>
            <w:vAlign w:val="bottom"/>
          </w:tcPr>
          <w:p>
            <w:pPr>
              <w:spacing w:after="0"/>
              <w:rPr>
                <w:sz w:val="8"/>
                <w:szCs w:val="8"/>
                <w:color w:val="auto"/>
              </w:rPr>
            </w:pPr>
          </w:p>
        </w:tc>
        <w:tc>
          <w:tcPr>
            <w:tcW w:w="20" w:type="dxa"/>
            <w:vAlign w:val="bottom"/>
          </w:tcPr>
          <w:p>
            <w:pPr>
              <w:spacing w:after="0"/>
              <w:rPr>
                <w:sz w:val="8"/>
                <w:szCs w:val="8"/>
                <w:color w:val="auto"/>
              </w:rPr>
            </w:pPr>
          </w:p>
        </w:tc>
      </w:tr>
    </w:tbl>
    <w:p>
      <w:pPr>
        <w:sectPr>
          <w:pgSz w:w="11900" w:h="16838" w:orient="portrait"/>
          <w:cols w:equalWidth="0" w:num="1">
            <w:col w:w="10520"/>
          </w:cols>
          <w:pgMar w:left="680" w:top="801" w:right="706" w:bottom="1440" w:gutter="0" w:footer="0" w:header="0"/>
        </w:sectPr>
      </w:pPr>
    </w:p>
    <w:bookmarkStart w:id="8" w:name="page9"/>
    <w:bookmarkEnd w:id="8"/>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260" w:type="dxa"/>
            <w:vAlign w:val="bottom"/>
            <w:gridSpan w:val="2"/>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560" w:type="dxa"/>
            <w:vAlign w:val="bottom"/>
          </w:tcPr>
          <w:p>
            <w:pPr>
              <w:spacing w:after="0"/>
              <w:rPr>
                <w:sz w:val="19"/>
                <w:szCs w:val="19"/>
                <w:color w:val="auto"/>
              </w:rPr>
            </w:pPr>
          </w:p>
        </w:tc>
        <w:tc>
          <w:tcPr>
            <w:tcW w:w="3700" w:type="dxa"/>
            <w:vAlign w:val="bottom"/>
            <w:gridSpan w:val="2"/>
          </w:tcPr>
          <w:p>
            <w:pPr>
              <w:ind w:left="3400"/>
              <w:spacing w:after="0"/>
              <w:rPr>
                <w:sz w:val="20"/>
                <w:szCs w:val="20"/>
                <w:color w:val="auto"/>
              </w:rPr>
            </w:pPr>
            <w:r>
              <w:rPr>
                <w:rFonts w:ascii="Times New Roman" w:cs="Times New Roman" w:eastAsia="Times New Roman" w:hAnsi="Times New Roman"/>
                <w:sz w:val="20"/>
                <w:szCs w:val="20"/>
                <w:color w:val="auto"/>
                <w:w w:val="93"/>
              </w:rPr>
              <w:t>353</w:t>
            </w:r>
          </w:p>
        </w:tc>
      </w:tr>
      <w:tr>
        <w:trPr>
          <w:trHeight w:val="40"/>
        </w:trPr>
        <w:tc>
          <w:tcPr>
            <w:tcW w:w="1180" w:type="dxa"/>
            <w:vAlign w:val="bottom"/>
            <w:tcBorders>
              <w:bottom w:val="single" w:sz="8" w:color="auto"/>
            </w:tcBorders>
          </w:tcPr>
          <w:p>
            <w:pPr>
              <w:spacing w:after="0"/>
              <w:rPr>
                <w:sz w:val="3"/>
                <w:szCs w:val="3"/>
                <w:color w:val="auto"/>
              </w:rPr>
            </w:pPr>
          </w:p>
        </w:tc>
        <w:tc>
          <w:tcPr>
            <w:tcW w:w="108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r>
      <w:tr>
        <w:trPr>
          <w:trHeight w:val="347"/>
        </w:trPr>
        <w:tc>
          <w:tcPr>
            <w:tcW w:w="118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9" w:lineRule="exact"/>
              <w:rPr>
                <w:sz w:val="20"/>
                <w:szCs w:val="20"/>
                <w:color w:val="auto"/>
              </w:rPr>
            </w:pPr>
            <w:r>
              <w:rPr>
                <w:rFonts w:ascii="Arial" w:cs="Arial" w:eastAsia="Arial" w:hAnsi="Arial"/>
                <w:sz w:val="21"/>
                <w:szCs w:val="21"/>
                <w:b w:val="1"/>
                <w:bCs w:val="1"/>
                <w:color w:val="auto"/>
              </w:rPr>
              <w:t>II-08</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Aquecedor de alimentos e louças, aquecedores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8516.79, 8516.71</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líquidos e aparelhos semelhantes, incluindo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aparelhos para manter os alimentos e pratos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quentes, aquecer líquidos, Etc.</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II-09</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Fritadeiras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8419.81</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II-10</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Utensílios de cozinha, máquinas e outros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8509</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utensílios electromecânicos domésticos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11" w:lineRule="exact"/>
              <w:rPr>
                <w:sz w:val="20"/>
                <w:szCs w:val="20"/>
                <w:color w:val="auto"/>
              </w:rPr>
            </w:pPr>
            <w:r>
              <w:rPr>
                <w:rFonts w:ascii="Arial" w:cs="Arial" w:eastAsia="Arial" w:hAnsi="Arial"/>
                <w:sz w:val="21"/>
                <w:szCs w:val="21"/>
                <w:b w:val="1"/>
                <w:bCs w:val="1"/>
                <w:color w:val="auto"/>
              </w:rPr>
              <w:t>II-11</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Cobertores eléctricos, almofadas e aparelhos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6301.10, 8516.79</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aquecimento flexíveis semelhantes,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aparelhos electromecânicos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domésticos (extractor de suco, afiadores 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limpadores de faca, cortadores de todos 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tipos, moedor e misturador de alimentos,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descartadores de lixo de cozinha etc.)</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9" w:lineRule="exact"/>
              <w:rPr>
                <w:sz w:val="20"/>
                <w:szCs w:val="20"/>
                <w:color w:val="auto"/>
              </w:rPr>
            </w:pPr>
            <w:r>
              <w:rPr>
                <w:rFonts w:ascii="Arial" w:cs="Arial" w:eastAsia="Arial" w:hAnsi="Arial"/>
                <w:sz w:val="21"/>
                <w:szCs w:val="21"/>
                <w:b w:val="1"/>
                <w:bCs w:val="1"/>
                <w:color w:val="auto"/>
              </w:rPr>
              <w:t>II-12</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Electrodomésticos para cuidados da pele</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8516.31, 8516.32, 8516.33,</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ou cabelo</w:t>
            </w: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8516.90</w:t>
            </w: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II-13</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Aparelhos de refrigeração, máquinas de gelo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8418.10, 8418.21, 8418.29,</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aparelhos relacionados, incluindo aparelhos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8418.30, 8418.40, 8418.50,</w:t>
            </w: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de sorvete e produtos relacionados</w:t>
            </w: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8418.69, 8418.99</w:t>
            </w: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II-14</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Fornos, fogões, pratos de cozinha e produtos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8516.50, 8516.60</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semelhantes, incluindo fornos de microondas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outros fornos; anéis de ebulição; grelhas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assadeiras.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II-15</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Máquinas eléctricas de costura</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8452.10, 8452.21, 8452.29,</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8452.30, 8452.90</w:t>
            </w:r>
          </w:p>
        </w:tc>
        <w:tc>
          <w:tcPr>
            <w:tcW w:w="680" w:type="dxa"/>
            <w:vAlign w:val="bottom"/>
          </w:tcPr>
          <w:p>
            <w:pPr>
              <w:spacing w:after="0"/>
              <w:rPr>
                <w:sz w:val="22"/>
                <w:szCs w:val="22"/>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9" w:lineRule="exact"/>
              <w:rPr>
                <w:sz w:val="20"/>
                <w:szCs w:val="20"/>
                <w:color w:val="auto"/>
              </w:rPr>
            </w:pPr>
            <w:r>
              <w:rPr>
                <w:rFonts w:ascii="Arial" w:cs="Arial" w:eastAsia="Arial" w:hAnsi="Arial"/>
                <w:sz w:val="21"/>
                <w:szCs w:val="21"/>
                <w:b w:val="1"/>
                <w:bCs w:val="1"/>
                <w:color w:val="auto"/>
              </w:rPr>
              <w:t>II-16</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Aquecedores de ambiente, aquecedores de</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8516.21, 8516.29, 8516.79,</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pés, resistores eléctricos de aquecimento e</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8516.80</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produtos semelhantes, incluindo aquecedores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radiantes, radiadores eléctricos, aquecedores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convecção, aquecedores de cama,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resistores de aquecimento eléctricos que se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destinam-se a diferentes aplicações (excepto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aqueles de carbono)</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II-17</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Capuzes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8414.6</w:t>
            </w: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II-18</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Aparelhos de massagem</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9019</w:t>
            </w:r>
          </w:p>
        </w:tc>
        <w:tc>
          <w:tcPr>
            <w:tcW w:w="680" w:type="dxa"/>
            <w:vAlign w:val="bottom"/>
          </w:tcPr>
          <w:p>
            <w:pPr>
              <w:spacing w:after="0"/>
              <w:rPr>
                <w:sz w:val="19"/>
                <w:szCs w:val="19"/>
                <w:color w:val="auto"/>
              </w:rPr>
            </w:pPr>
          </w:p>
        </w:tc>
      </w:tr>
      <w:tr>
        <w:trPr>
          <w:trHeight w:val="228"/>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8" w:lineRule="exact"/>
              <w:rPr>
                <w:sz w:val="20"/>
                <w:szCs w:val="20"/>
                <w:color w:val="auto"/>
              </w:rPr>
            </w:pPr>
            <w:r>
              <w:rPr>
                <w:rFonts w:ascii="Arial" w:cs="Arial" w:eastAsia="Arial" w:hAnsi="Arial"/>
                <w:sz w:val="21"/>
                <w:szCs w:val="21"/>
                <w:b w:val="1"/>
                <w:bCs w:val="1"/>
                <w:color w:val="auto"/>
              </w:rPr>
              <w:t>II-19</w:t>
            </w:r>
          </w:p>
        </w:tc>
        <w:tc>
          <w:tcPr>
            <w:tcW w:w="4560" w:type="dxa"/>
            <w:vAlign w:val="bottom"/>
            <w:tcBorders>
              <w:bottom w:val="single" w:sz="8" w:color="auto"/>
              <w:right w:val="single" w:sz="8" w:color="auto"/>
            </w:tcBorders>
          </w:tcPr>
          <w:p>
            <w:pPr>
              <w:ind w:left="80"/>
              <w:spacing w:after="0" w:line="228" w:lineRule="exact"/>
              <w:rPr>
                <w:sz w:val="20"/>
                <w:szCs w:val="20"/>
                <w:color w:val="auto"/>
              </w:rPr>
            </w:pPr>
            <w:r>
              <w:rPr>
                <w:rFonts w:ascii="Arial" w:cs="Arial" w:eastAsia="Arial" w:hAnsi="Arial"/>
                <w:sz w:val="21"/>
                <w:szCs w:val="21"/>
                <w:color w:val="auto"/>
              </w:rPr>
              <w:t>Motor-Compressores</w:t>
            </w:r>
          </w:p>
        </w:tc>
        <w:tc>
          <w:tcPr>
            <w:tcW w:w="3020" w:type="dxa"/>
            <w:vAlign w:val="bottom"/>
            <w:tcBorders>
              <w:bottom w:val="single" w:sz="8" w:color="auto"/>
              <w:right w:val="single" w:sz="8" w:color="auto"/>
            </w:tcBorders>
          </w:tcPr>
          <w:p>
            <w:pPr>
              <w:ind w:left="80"/>
              <w:spacing w:after="0" w:line="228" w:lineRule="exact"/>
              <w:rPr>
                <w:sz w:val="20"/>
                <w:szCs w:val="20"/>
                <w:color w:val="auto"/>
              </w:rPr>
            </w:pPr>
            <w:r>
              <w:rPr>
                <w:rFonts w:ascii="Arial" w:cs="Arial" w:eastAsia="Arial" w:hAnsi="Arial"/>
                <w:sz w:val="21"/>
                <w:szCs w:val="21"/>
                <w:color w:val="auto"/>
              </w:rPr>
              <w:t>8414</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II-20</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Aquecedores eléctricos de água, incluíndo 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8516</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imersão; aparelhos eléctricos para aqueci-</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mento de ambientes, do solo ou para usos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semelhantes;  aparelhos  electrotérmicos  para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arranjos do cabelo (por exemplo: secadores de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cabelo, frisadores, aquecedores de ferros de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frisar) ou para secar as mãos; ferros eléctricos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passar;  outros  aparelhos  electrotérmicos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para usos domésticos; resistências de aqueci-</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41"/>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mento, excepto as da posição 85.45</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-431165</wp:posOffset>
            </wp:positionH>
            <wp:positionV relativeFrom="paragraph">
              <wp:posOffset>2768600</wp:posOffset>
            </wp:positionV>
            <wp:extent cx="4763" cy="4763"/>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extLst>
                    </a:blip>
                    <a:srcRect/>
                    <a:stretch>
                      <a:fillRect/>
                    </a:stretch>
                  </pic:blipFill>
                  <pic:spPr bwMode="auto">
                    <a:xfrm>
                      <a:off x="0" y="0"/>
                      <a:ext cx="4763" cy="4763"/>
                    </a:xfrm>
                    <a:prstGeom prst="rect">
                      <a:avLst/>
                    </a:prstGeom>
                    <a:noFill/>
                  </pic:spPr>
                </pic:pic>
              </a:graphicData>
            </a:graphic>
          </wp:anchor>
        </w:drawing>
      </w:r>
    </w:p>
    <w:p>
      <w:pPr>
        <w:sectPr>
          <w:pgSz w:w="11900" w:h="16838" w:orient="portrait"/>
          <w:cols w:equalWidth="0" w:num="1">
            <w:col w:w="10520"/>
          </w:cols>
          <w:pgMar w:left="680" w:top="803" w:right="706" w:bottom="1440" w:gutter="0" w:footer="0" w:header="0"/>
        </w:sectPr>
      </w:pPr>
    </w:p>
    <w:bookmarkStart w:id="9" w:name="page10"/>
    <w:bookmarkEnd w:id="9"/>
    <w:tbl>
      <w:tblPr>
        <w:tblLayout w:type="fixed"/>
        <w:tblInd w:w="0" w:type="dxa"/>
        <w:tblCellMar>
          <w:top w:w="0" w:type="dxa"/>
          <w:left w:w="0" w:type="dxa"/>
          <w:bottom w:w="0" w:type="dxa"/>
          <w:right w:w="0" w:type="dxa"/>
        </w:tblCellMar>
      </w:tblPr>
      <w:tr>
        <w:trPr>
          <w:trHeight w:val="241"/>
        </w:trPr>
        <w:tc>
          <w:tcPr>
            <w:tcW w:w="1180" w:type="dxa"/>
            <w:vAlign w:val="bottom"/>
          </w:tcPr>
          <w:p>
            <w:pPr>
              <w:jc w:val="right"/>
              <w:ind w:right="780"/>
              <w:spacing w:after="0"/>
              <w:rPr>
                <w:sz w:val="20"/>
                <w:szCs w:val="20"/>
                <w:color w:val="auto"/>
              </w:rPr>
            </w:pPr>
            <w:r>
              <w:rPr>
                <w:rFonts w:ascii="Times New Roman" w:cs="Times New Roman" w:eastAsia="Times New Roman" w:hAnsi="Times New Roman"/>
                <w:sz w:val="20"/>
                <w:szCs w:val="20"/>
                <w:color w:val="auto"/>
                <w:w w:val="93"/>
              </w:rPr>
              <w:t>354</w:t>
            </w:r>
          </w:p>
        </w:tc>
        <w:tc>
          <w:tcPr>
            <w:tcW w:w="108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3700" w:type="dxa"/>
            <w:vAlign w:val="bottom"/>
            <w:gridSpan w:val="2"/>
          </w:tcPr>
          <w:p>
            <w:pPr>
              <w:ind w:left="1640"/>
              <w:spacing w:after="0"/>
              <w:rPr>
                <w:sz w:val="20"/>
                <w:szCs w:val="20"/>
                <w:color w:val="auto"/>
              </w:rPr>
            </w:pPr>
            <w:r>
              <w:rPr>
                <w:rFonts w:ascii="Times New Roman" w:cs="Times New Roman" w:eastAsia="Times New Roman" w:hAnsi="Times New Roman"/>
                <w:sz w:val="20"/>
                <w:szCs w:val="20"/>
                <w:i w:val="1"/>
                <w:iCs w:val="1"/>
                <w:color w:val="auto"/>
              </w:rPr>
              <w:t>I SÉRIE — NÚMERO 50</w:t>
            </w:r>
          </w:p>
        </w:tc>
      </w:tr>
      <w:tr>
        <w:trPr>
          <w:trHeight w:val="40"/>
        </w:trPr>
        <w:tc>
          <w:tcPr>
            <w:tcW w:w="1180" w:type="dxa"/>
            <w:vAlign w:val="bottom"/>
            <w:tcBorders>
              <w:bottom w:val="single" w:sz="8" w:color="auto"/>
            </w:tcBorders>
          </w:tcPr>
          <w:p>
            <w:pPr>
              <w:spacing w:after="0"/>
              <w:rPr>
                <w:sz w:val="3"/>
                <w:szCs w:val="3"/>
                <w:color w:val="auto"/>
              </w:rPr>
            </w:pPr>
          </w:p>
        </w:tc>
        <w:tc>
          <w:tcPr>
            <w:tcW w:w="108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r>
      <w:tr>
        <w:trPr>
          <w:trHeight w:val="276"/>
        </w:trPr>
        <w:tc>
          <w:tcPr>
            <w:tcW w:w="118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9" w:lineRule="exact"/>
              <w:rPr>
                <w:sz w:val="20"/>
                <w:szCs w:val="20"/>
                <w:color w:val="auto"/>
              </w:rPr>
            </w:pPr>
            <w:r>
              <w:rPr>
                <w:rFonts w:ascii="Arial" w:cs="Arial" w:eastAsia="Arial" w:hAnsi="Arial"/>
                <w:sz w:val="21"/>
                <w:szCs w:val="21"/>
                <w:b w:val="1"/>
                <w:bCs w:val="1"/>
                <w:color w:val="auto"/>
              </w:rPr>
              <w:t>II-21</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Humidificadores, desumidificadores,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8415, 8418.61, 8479.60,</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condicionadores de ar e bombas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8509.80</w:t>
            </w: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de aquecedores eléctricos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II-22</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Bombas Eléctricas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8413.19, 8413.70, 8413.81</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II-23</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Secadores de roupa e toalheiros aquecidos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8516.79, 8451.10, 8451.21,</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8451.29,</w:t>
            </w:r>
          </w:p>
        </w:tc>
        <w:tc>
          <w:tcPr>
            <w:tcW w:w="680" w:type="dxa"/>
            <w:vAlign w:val="bottom"/>
          </w:tcPr>
          <w:p>
            <w:pPr>
              <w:spacing w:after="0"/>
              <w:rPr>
                <w:sz w:val="22"/>
                <w:szCs w:val="22"/>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11" w:lineRule="exact"/>
              <w:rPr>
                <w:sz w:val="20"/>
                <w:szCs w:val="20"/>
                <w:color w:val="auto"/>
              </w:rPr>
            </w:pPr>
            <w:r>
              <w:rPr>
                <w:rFonts w:ascii="Arial" w:cs="Arial" w:eastAsia="Arial" w:hAnsi="Arial"/>
                <w:sz w:val="21"/>
                <w:szCs w:val="21"/>
                <w:b w:val="1"/>
                <w:bCs w:val="1"/>
                <w:color w:val="auto"/>
              </w:rPr>
              <w:t>II-24</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Ferramentas de aquecimento portáteis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8515.11, 8515.19</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aparelhos semelhantes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II-25</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Máquinas eléctricas de costura</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8452.10, 8452.21, 8452.29,</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8452.30, 8452.90</w:t>
            </w: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II-26</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Electrodomésticos para higiene bucal</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8509.8</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II-27</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Aparelhos de aquecimento de sauna,</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8516.79,8516.21</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aquecedores de sala de armazenamento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térmico e produtos semelhantes, Incluindo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Sauna Facial</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II-28</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Aspiradores e aparelhos de limpeza de</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8508, 8479.89</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superfícies relacionados, incluindo aparelhos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limpeza de superfície empregando líquidos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vapor (por exemplo, máquina de tratamento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limpeza de piso)</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9" w:lineRule="exact"/>
              <w:rPr>
                <w:sz w:val="20"/>
                <w:szCs w:val="20"/>
                <w:color w:val="auto"/>
              </w:rPr>
            </w:pPr>
            <w:r>
              <w:rPr>
                <w:rFonts w:ascii="Arial" w:cs="Arial" w:eastAsia="Arial" w:hAnsi="Arial"/>
                <w:sz w:val="21"/>
                <w:szCs w:val="21"/>
                <w:b w:val="1"/>
                <w:bCs w:val="1"/>
                <w:color w:val="auto"/>
              </w:rPr>
              <w:t>II-29</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Electrodomésticos para uso em aquários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8413.81</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lagos de jardim</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II-30</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Projectores e aparelhos semelhantes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9007.20, 9007.92, 9008,</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8528.61, 8528.69</w:t>
            </w:r>
          </w:p>
        </w:tc>
        <w:tc>
          <w:tcPr>
            <w:tcW w:w="680" w:type="dxa"/>
            <w:vAlign w:val="bottom"/>
          </w:tcPr>
          <w:p>
            <w:pPr>
              <w:spacing w:after="0"/>
              <w:rPr>
                <w:sz w:val="22"/>
                <w:szCs w:val="22"/>
                <w:color w:val="auto"/>
              </w:rPr>
            </w:pPr>
          </w:p>
        </w:tc>
      </w:tr>
      <w:tr>
        <w:trPr>
          <w:trHeight w:val="228"/>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8" w:lineRule="exact"/>
              <w:rPr>
                <w:sz w:val="20"/>
                <w:szCs w:val="20"/>
                <w:color w:val="auto"/>
              </w:rPr>
            </w:pPr>
            <w:r>
              <w:rPr>
                <w:rFonts w:ascii="Arial" w:cs="Arial" w:eastAsia="Arial" w:hAnsi="Arial"/>
                <w:sz w:val="21"/>
                <w:szCs w:val="21"/>
                <w:b w:val="1"/>
                <w:bCs w:val="1"/>
                <w:color w:val="auto"/>
              </w:rPr>
              <w:t>II-31</w:t>
            </w:r>
          </w:p>
        </w:tc>
        <w:tc>
          <w:tcPr>
            <w:tcW w:w="4560" w:type="dxa"/>
            <w:vAlign w:val="bottom"/>
            <w:tcBorders>
              <w:bottom w:val="single" w:sz="8" w:color="auto"/>
              <w:right w:val="single" w:sz="8" w:color="auto"/>
            </w:tcBorders>
          </w:tcPr>
          <w:p>
            <w:pPr>
              <w:ind w:left="80"/>
              <w:spacing w:after="0" w:line="228" w:lineRule="exact"/>
              <w:rPr>
                <w:sz w:val="20"/>
                <w:szCs w:val="20"/>
                <w:color w:val="auto"/>
              </w:rPr>
            </w:pPr>
            <w:r>
              <w:rPr>
                <w:rFonts w:ascii="Arial" w:cs="Arial" w:eastAsia="Arial" w:hAnsi="Arial"/>
                <w:sz w:val="21"/>
                <w:szCs w:val="21"/>
                <w:color w:val="auto"/>
              </w:rPr>
              <w:t>Matadores de insectos</w:t>
            </w:r>
          </w:p>
        </w:tc>
        <w:tc>
          <w:tcPr>
            <w:tcW w:w="3020" w:type="dxa"/>
            <w:vAlign w:val="bottom"/>
            <w:tcBorders>
              <w:bottom w:val="single" w:sz="8" w:color="auto"/>
              <w:right w:val="single" w:sz="8" w:color="auto"/>
            </w:tcBorders>
          </w:tcPr>
          <w:p>
            <w:pPr>
              <w:ind w:left="80"/>
              <w:spacing w:after="0" w:line="228" w:lineRule="exact"/>
              <w:rPr>
                <w:sz w:val="20"/>
                <w:szCs w:val="20"/>
                <w:color w:val="auto"/>
              </w:rPr>
            </w:pPr>
            <w:r>
              <w:rPr>
                <w:rFonts w:ascii="Arial" w:cs="Arial" w:eastAsia="Arial" w:hAnsi="Arial"/>
                <w:sz w:val="21"/>
                <w:szCs w:val="21"/>
                <w:color w:val="auto"/>
              </w:rPr>
              <w:t>8543.20, 8543.90</w:t>
            </w: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II-32</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Banheira de hidromassagem</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9019.1</w:t>
            </w: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7" w:lineRule="exact"/>
              <w:rPr>
                <w:sz w:val="20"/>
                <w:szCs w:val="20"/>
                <w:color w:val="auto"/>
              </w:rPr>
            </w:pPr>
            <w:r>
              <w:rPr>
                <w:rFonts w:ascii="Arial" w:cs="Arial" w:eastAsia="Arial" w:hAnsi="Arial"/>
                <w:sz w:val="21"/>
                <w:szCs w:val="21"/>
                <w:b w:val="1"/>
                <w:bCs w:val="1"/>
                <w:color w:val="auto"/>
              </w:rPr>
              <w:t>II-33</w:t>
            </w:r>
          </w:p>
        </w:tc>
        <w:tc>
          <w:tcPr>
            <w:tcW w:w="4560" w:type="dxa"/>
            <w:vAlign w:val="bottom"/>
            <w:tcBorders>
              <w:bottom w:val="single" w:sz="8" w:color="auto"/>
              <w:right w:val="single" w:sz="8" w:color="auto"/>
            </w:tcBorders>
          </w:tcPr>
          <w:p>
            <w:pPr>
              <w:ind w:left="80"/>
              <w:spacing w:after="0" w:line="227" w:lineRule="exact"/>
              <w:rPr>
                <w:sz w:val="20"/>
                <w:szCs w:val="20"/>
                <w:color w:val="auto"/>
              </w:rPr>
            </w:pPr>
            <w:r>
              <w:rPr>
                <w:rFonts w:ascii="Arial" w:cs="Arial" w:eastAsia="Arial" w:hAnsi="Arial"/>
                <w:sz w:val="21"/>
                <w:szCs w:val="21"/>
                <w:color w:val="auto"/>
              </w:rPr>
              <w:t>Pias e lavabos de aço inoxidável</w:t>
            </w:r>
          </w:p>
        </w:tc>
        <w:tc>
          <w:tcPr>
            <w:tcW w:w="3020" w:type="dxa"/>
            <w:vAlign w:val="bottom"/>
            <w:tcBorders>
              <w:bottom w:val="single" w:sz="8" w:color="auto"/>
              <w:right w:val="single" w:sz="8" w:color="auto"/>
            </w:tcBorders>
          </w:tcPr>
          <w:p>
            <w:pPr>
              <w:ind w:left="80"/>
              <w:spacing w:after="0" w:line="227" w:lineRule="exact"/>
              <w:rPr>
                <w:sz w:val="20"/>
                <w:szCs w:val="20"/>
                <w:color w:val="auto"/>
              </w:rPr>
            </w:pPr>
            <w:r>
              <w:rPr>
                <w:rFonts w:ascii="Arial" w:cs="Arial" w:eastAsia="Arial" w:hAnsi="Arial"/>
                <w:sz w:val="21"/>
                <w:szCs w:val="21"/>
                <w:color w:val="auto"/>
              </w:rPr>
              <w:t>7324.1</w:t>
            </w: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II-34</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Aparelhos de purificação de ar</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8421.39</w:t>
            </w: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II-35</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Máquinas de ordenha</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8434.1</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II-36</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Dispositivos de distribuição ou dispensação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8476</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máquinas automáticas de venda</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11" w:lineRule="exact"/>
              <w:rPr>
                <w:sz w:val="20"/>
                <w:szCs w:val="20"/>
                <w:color w:val="auto"/>
              </w:rPr>
            </w:pPr>
            <w:r>
              <w:rPr>
                <w:rFonts w:ascii="Arial" w:cs="Arial" w:eastAsia="Arial" w:hAnsi="Arial"/>
                <w:sz w:val="21"/>
                <w:szCs w:val="21"/>
                <w:b w:val="1"/>
                <w:bCs w:val="1"/>
                <w:color w:val="auto"/>
              </w:rPr>
              <w:t>II-37</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Cortadores de relva operados por rede</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8433.11</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eléctrica controlada por pedestres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II-38</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Churrasqueira Eléctrica ao Ar Livre</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8516.6</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9" w:lineRule="exact"/>
              <w:rPr>
                <w:sz w:val="20"/>
                <w:szCs w:val="20"/>
                <w:color w:val="auto"/>
              </w:rPr>
            </w:pPr>
            <w:r>
              <w:rPr>
                <w:rFonts w:ascii="Arial" w:cs="Arial" w:eastAsia="Arial" w:hAnsi="Arial"/>
                <w:sz w:val="21"/>
                <w:szCs w:val="21"/>
                <w:b w:val="1"/>
                <w:bCs w:val="1"/>
                <w:color w:val="auto"/>
              </w:rPr>
              <w:t>II-39</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Limpadores de alta pressão e limpadores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8424.3</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a vapor</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II-40</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Ventiladores de mesa, de pé, de parede, de</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8414.51, 8414.59</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tecto ou de janela, com motor eléctrico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incorporado de potência não superior a 125 W</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outros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II-41</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Sanitários eléctricos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8543.70, 8543.90</w:t>
            </w: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II-42</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Vaporizadores de tecido</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8516.79</w:t>
            </w: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II-43</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Máquinas eléctricas de pesca</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8543.70, 8543.90</w:t>
            </w:r>
          </w:p>
        </w:tc>
        <w:tc>
          <w:tcPr>
            <w:tcW w:w="680" w:type="dxa"/>
            <w:vAlign w:val="bottom"/>
          </w:tcPr>
          <w:p>
            <w:pPr>
              <w:spacing w:after="0"/>
              <w:rPr>
                <w:sz w:val="19"/>
                <w:szCs w:val="19"/>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10" w:lineRule="exact"/>
              <w:rPr>
                <w:sz w:val="20"/>
                <w:szCs w:val="20"/>
                <w:color w:val="auto"/>
              </w:rPr>
            </w:pPr>
            <w:r>
              <w:rPr>
                <w:rFonts w:ascii="Arial" w:cs="Arial" w:eastAsia="Arial" w:hAnsi="Arial"/>
                <w:sz w:val="21"/>
                <w:szCs w:val="21"/>
                <w:b w:val="1"/>
                <w:bCs w:val="1"/>
                <w:color w:val="auto"/>
              </w:rPr>
              <w:t>II-44</w:t>
            </w:r>
          </w:p>
        </w:tc>
        <w:tc>
          <w:tcPr>
            <w:tcW w:w="4560" w:type="dxa"/>
            <w:vAlign w:val="bottom"/>
            <w:tcBorders>
              <w:right w:val="single" w:sz="8" w:color="auto"/>
            </w:tcBorders>
          </w:tcPr>
          <w:p>
            <w:pPr>
              <w:ind w:left="80"/>
              <w:spacing w:after="0" w:line="210" w:lineRule="exact"/>
              <w:rPr>
                <w:sz w:val="20"/>
                <w:szCs w:val="20"/>
                <w:color w:val="auto"/>
              </w:rPr>
            </w:pPr>
            <w:r>
              <w:rPr>
                <w:rFonts w:ascii="Arial" w:cs="Arial" w:eastAsia="Arial" w:hAnsi="Arial"/>
                <w:sz w:val="21"/>
                <w:szCs w:val="21"/>
                <w:color w:val="auto"/>
              </w:rPr>
              <w:t>Equipamento eléctrico de atordoamento</w:t>
            </w:r>
          </w:p>
        </w:tc>
        <w:tc>
          <w:tcPr>
            <w:tcW w:w="3020" w:type="dxa"/>
            <w:vAlign w:val="bottom"/>
            <w:tcBorders>
              <w:right w:val="single" w:sz="8" w:color="auto"/>
            </w:tcBorders>
          </w:tcPr>
          <w:p>
            <w:pPr>
              <w:ind w:left="80"/>
              <w:spacing w:after="0" w:line="210" w:lineRule="exact"/>
              <w:rPr>
                <w:sz w:val="20"/>
                <w:szCs w:val="20"/>
                <w:color w:val="auto"/>
              </w:rPr>
            </w:pPr>
            <w:r>
              <w:rPr>
                <w:rFonts w:ascii="Arial" w:cs="Arial" w:eastAsia="Arial" w:hAnsi="Arial"/>
                <w:sz w:val="21"/>
                <w:szCs w:val="21"/>
                <w:color w:val="auto"/>
              </w:rPr>
              <w:t>8543.70, 8543.90</w:t>
            </w:r>
          </w:p>
        </w:tc>
        <w:tc>
          <w:tcPr>
            <w:tcW w:w="680" w:type="dxa"/>
            <w:vAlign w:val="bottom"/>
          </w:tcPr>
          <w:p>
            <w:pPr>
              <w:spacing w:after="0"/>
              <w:rPr>
                <w:sz w:val="18"/>
                <w:szCs w:val="18"/>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ou insensibilização de animais</w:t>
            </w:r>
          </w:p>
        </w:tc>
        <w:tc>
          <w:tcPr>
            <w:tcW w:w="3020" w:type="dxa"/>
            <w:vAlign w:val="bottom"/>
            <w:tcBorders>
              <w:right w:val="single" w:sz="8" w:color="auto"/>
            </w:tcBorders>
          </w:tcPr>
          <w:p>
            <w:pPr>
              <w:spacing w:after="0"/>
              <w:rPr>
                <w:sz w:val="23"/>
                <w:szCs w:val="23"/>
                <w:color w:val="auto"/>
              </w:rPr>
            </w:pPr>
          </w:p>
        </w:tc>
        <w:tc>
          <w:tcPr>
            <w:tcW w:w="680" w:type="dxa"/>
            <w:vAlign w:val="bottom"/>
          </w:tcPr>
          <w:p>
            <w:pPr>
              <w:spacing w:after="0"/>
              <w:rPr>
                <w:sz w:val="23"/>
                <w:szCs w:val="23"/>
                <w:color w:val="auto"/>
              </w:rPr>
            </w:pPr>
          </w:p>
        </w:tc>
      </w:tr>
      <w:tr>
        <w:trPr>
          <w:trHeight w:val="108"/>
        </w:trPr>
        <w:tc>
          <w:tcPr>
            <w:tcW w:w="1180" w:type="dxa"/>
            <w:vAlign w:val="bottom"/>
            <w:tcBorders>
              <w:right w:val="single" w:sz="8" w:color="auto"/>
            </w:tcBorders>
          </w:tcPr>
          <w:p>
            <w:pPr>
              <w:spacing w:after="0"/>
              <w:rPr>
                <w:sz w:val="9"/>
                <w:szCs w:val="9"/>
                <w:color w:val="auto"/>
              </w:rPr>
            </w:pPr>
          </w:p>
        </w:tc>
        <w:tc>
          <w:tcPr>
            <w:tcW w:w="1080" w:type="dxa"/>
            <w:vAlign w:val="bottom"/>
            <w:tcBorders>
              <w:right w:val="single" w:sz="8" w:color="auto"/>
            </w:tcBorders>
          </w:tcPr>
          <w:p>
            <w:pPr>
              <w:spacing w:after="0"/>
              <w:rPr>
                <w:sz w:val="9"/>
                <w:szCs w:val="9"/>
                <w:color w:val="auto"/>
              </w:rPr>
            </w:pPr>
          </w:p>
        </w:tc>
        <w:tc>
          <w:tcPr>
            <w:tcW w:w="4560" w:type="dxa"/>
            <w:vAlign w:val="bottom"/>
            <w:tcBorders>
              <w:right w:val="single" w:sz="8" w:color="auto"/>
            </w:tcBorders>
          </w:tcPr>
          <w:p>
            <w:pPr>
              <w:spacing w:after="0"/>
              <w:rPr>
                <w:sz w:val="9"/>
                <w:szCs w:val="9"/>
                <w:color w:val="auto"/>
              </w:rPr>
            </w:pPr>
          </w:p>
        </w:tc>
        <w:tc>
          <w:tcPr>
            <w:tcW w:w="3020" w:type="dxa"/>
            <w:vAlign w:val="bottom"/>
            <w:tcBorders>
              <w:right w:val="single" w:sz="8" w:color="auto"/>
            </w:tcBorders>
          </w:tcPr>
          <w:p>
            <w:pPr>
              <w:spacing w:after="0"/>
              <w:rPr>
                <w:sz w:val="9"/>
                <w:szCs w:val="9"/>
                <w:color w:val="auto"/>
              </w:rPr>
            </w:pPr>
          </w:p>
        </w:tc>
        <w:tc>
          <w:tcPr>
            <w:tcW w:w="680" w:type="dxa"/>
            <w:vAlign w:val="bottom"/>
          </w:tcPr>
          <w:p>
            <w:pPr>
              <w:spacing w:after="0"/>
              <w:rPr>
                <w:sz w:val="9"/>
                <w:szCs w:val="9"/>
                <w:color w:val="auto"/>
              </w:rPr>
            </w:pPr>
          </w:p>
        </w:tc>
      </w:tr>
    </w:tbl>
    <w:p>
      <w:pPr>
        <w:sectPr>
          <w:pgSz w:w="11900" w:h="16838" w:orient="portrait"/>
          <w:cols w:equalWidth="0" w:num="1">
            <w:col w:w="10520"/>
          </w:cols>
          <w:pgMar w:left="680" w:top="803" w:right="706" w:bottom="1440" w:gutter="0" w:footer="0" w:header="0"/>
        </w:sectPr>
      </w:pPr>
    </w:p>
    <w:bookmarkStart w:id="10" w:name="page11"/>
    <w:bookmarkEnd w:id="10"/>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260" w:type="dxa"/>
            <w:vAlign w:val="bottom"/>
            <w:gridSpan w:val="2"/>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560" w:type="dxa"/>
            <w:vAlign w:val="bottom"/>
          </w:tcPr>
          <w:p>
            <w:pPr>
              <w:spacing w:after="0"/>
              <w:rPr>
                <w:sz w:val="19"/>
                <w:szCs w:val="19"/>
                <w:color w:val="auto"/>
              </w:rPr>
            </w:pPr>
          </w:p>
        </w:tc>
        <w:tc>
          <w:tcPr>
            <w:tcW w:w="3700" w:type="dxa"/>
            <w:vAlign w:val="bottom"/>
            <w:gridSpan w:val="2"/>
          </w:tcPr>
          <w:p>
            <w:pPr>
              <w:ind w:left="3400"/>
              <w:spacing w:after="0"/>
              <w:rPr>
                <w:sz w:val="20"/>
                <w:szCs w:val="20"/>
                <w:color w:val="auto"/>
              </w:rPr>
            </w:pPr>
            <w:r>
              <w:rPr>
                <w:rFonts w:ascii="Times New Roman" w:cs="Times New Roman" w:eastAsia="Times New Roman" w:hAnsi="Times New Roman"/>
                <w:sz w:val="20"/>
                <w:szCs w:val="20"/>
                <w:color w:val="auto"/>
                <w:w w:val="93"/>
              </w:rPr>
              <w:t>355</w:t>
            </w:r>
          </w:p>
        </w:tc>
      </w:tr>
      <w:tr>
        <w:trPr>
          <w:trHeight w:val="40"/>
        </w:trPr>
        <w:tc>
          <w:tcPr>
            <w:tcW w:w="1180" w:type="dxa"/>
            <w:vAlign w:val="bottom"/>
            <w:tcBorders>
              <w:bottom w:val="single" w:sz="8" w:color="auto"/>
            </w:tcBorders>
          </w:tcPr>
          <w:p>
            <w:pPr>
              <w:spacing w:after="0"/>
              <w:rPr>
                <w:sz w:val="3"/>
                <w:szCs w:val="3"/>
                <w:color w:val="auto"/>
              </w:rPr>
            </w:pPr>
          </w:p>
        </w:tc>
        <w:tc>
          <w:tcPr>
            <w:tcW w:w="108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r>
      <w:tr>
        <w:trPr>
          <w:trHeight w:val="307"/>
        </w:trPr>
        <w:tc>
          <w:tcPr>
            <w:tcW w:w="118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9" w:lineRule="exact"/>
              <w:rPr>
                <w:sz w:val="20"/>
                <w:szCs w:val="20"/>
                <w:color w:val="auto"/>
              </w:rPr>
            </w:pPr>
            <w:r>
              <w:rPr>
                <w:rFonts w:ascii="Arial" w:cs="Arial" w:eastAsia="Arial" w:hAnsi="Arial"/>
                <w:sz w:val="21"/>
                <w:szCs w:val="21"/>
                <w:b w:val="1"/>
                <w:bCs w:val="1"/>
                <w:color w:val="auto"/>
              </w:rPr>
              <w:t>II-45</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Aparadores portáteis para relva e aparadores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8433.11</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de borda</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II-46</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Tesoura de relva</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8467.29</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II-47</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i w:val="1"/>
                <w:iCs w:val="1"/>
                <w:color w:val="auto"/>
              </w:rPr>
              <w:t xml:space="preserve">Drives </w:t>
            </w:r>
            <w:r>
              <w:rPr>
                <w:rFonts w:ascii="Arial" w:cs="Arial" w:eastAsia="Arial" w:hAnsi="Arial"/>
                <w:sz w:val="21"/>
                <w:szCs w:val="21"/>
                <w:color w:val="auto"/>
              </w:rPr>
              <w:t>de motor para portas, portões, janelas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8501, 8530, 8543.70, 8543.90</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produtos semelhantes, incluindo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accionamentos de motor para: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(1) Portas de garagem com movimento vertical</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para uso residencial</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(2) Persianas, toldos, etc.</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(3) Portões, portas e janelas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11" w:lineRule="exact"/>
              <w:rPr>
                <w:sz w:val="20"/>
                <w:szCs w:val="20"/>
                <w:color w:val="auto"/>
              </w:rPr>
            </w:pPr>
            <w:r>
              <w:rPr>
                <w:rFonts w:ascii="Arial" w:cs="Arial" w:eastAsia="Arial" w:hAnsi="Arial"/>
                <w:sz w:val="21"/>
                <w:szCs w:val="21"/>
                <w:b w:val="1"/>
                <w:bCs w:val="1"/>
                <w:color w:val="auto"/>
              </w:rPr>
              <w:t>II-48</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Sopradores manuais, aspiradores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8467.21, 8467.22, 8467.29</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aspiradores eléctricos incluindo os descritos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nos códigos HS 8467,81 e HS 8467,89</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7"/>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7" w:lineRule="exact"/>
              <w:rPr>
                <w:sz w:val="20"/>
                <w:szCs w:val="20"/>
                <w:color w:val="auto"/>
              </w:rPr>
            </w:pPr>
            <w:r>
              <w:rPr>
                <w:rFonts w:ascii="Arial" w:cs="Arial" w:eastAsia="Arial" w:hAnsi="Arial"/>
                <w:sz w:val="21"/>
                <w:szCs w:val="21"/>
                <w:b w:val="1"/>
                <w:bCs w:val="1"/>
                <w:color w:val="auto"/>
              </w:rPr>
              <w:t>II-49</w:t>
            </w:r>
          </w:p>
        </w:tc>
        <w:tc>
          <w:tcPr>
            <w:tcW w:w="4560" w:type="dxa"/>
            <w:vAlign w:val="bottom"/>
            <w:tcBorders>
              <w:bottom w:val="single" w:sz="8" w:color="auto"/>
              <w:right w:val="single" w:sz="8" w:color="auto"/>
            </w:tcBorders>
          </w:tcPr>
          <w:p>
            <w:pPr>
              <w:ind w:left="80"/>
              <w:spacing w:after="0" w:line="227" w:lineRule="exact"/>
              <w:rPr>
                <w:sz w:val="20"/>
                <w:szCs w:val="20"/>
                <w:color w:val="auto"/>
              </w:rPr>
            </w:pPr>
            <w:r>
              <w:rPr>
                <w:rFonts w:ascii="Arial" w:cs="Arial" w:eastAsia="Arial" w:hAnsi="Arial"/>
                <w:sz w:val="21"/>
                <w:szCs w:val="21"/>
                <w:color w:val="auto"/>
              </w:rPr>
              <w:t>Vaporizadores</w:t>
            </w:r>
          </w:p>
        </w:tc>
        <w:tc>
          <w:tcPr>
            <w:tcW w:w="3020" w:type="dxa"/>
            <w:vAlign w:val="bottom"/>
            <w:tcBorders>
              <w:bottom w:val="single" w:sz="8" w:color="auto"/>
              <w:right w:val="single" w:sz="8" w:color="auto"/>
            </w:tcBorders>
          </w:tcPr>
          <w:p>
            <w:pPr>
              <w:ind w:left="80"/>
              <w:spacing w:after="0" w:line="227" w:lineRule="exact"/>
              <w:rPr>
                <w:sz w:val="20"/>
                <w:szCs w:val="20"/>
                <w:color w:val="auto"/>
              </w:rPr>
            </w:pPr>
            <w:r>
              <w:rPr>
                <w:rFonts w:ascii="Arial" w:cs="Arial" w:eastAsia="Arial" w:hAnsi="Arial"/>
                <w:sz w:val="21"/>
                <w:szCs w:val="21"/>
                <w:color w:val="auto"/>
              </w:rPr>
              <w:t>8419.89</w:t>
            </w: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II-50</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Cabines de chuveiro multifuncionais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8481.80,7324.29</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II-51</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Máquinas e aparelhos de galvanoplastia,</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8543.30, 8543.90</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electrólise ou electroforese</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II-52</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Equipamentos de Tecnologia da Informação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8469, 8470, 8471, 8472, 8473,</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(TI), incluindo equipamento de sistema de</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8523, 8525.80, 9006, 9007.10,</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ponto de venda (POS), discos rígidos,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9007.91, 9010</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unidades de disquete, placas de som,</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6"/>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6" w:lineRule="exact"/>
              <w:rPr>
                <w:sz w:val="20"/>
                <w:szCs w:val="20"/>
                <w:color w:val="auto"/>
              </w:rPr>
            </w:pPr>
            <w:r>
              <w:rPr>
                <w:rFonts w:ascii="Arial" w:cs="Arial" w:eastAsia="Arial" w:hAnsi="Arial"/>
                <w:sz w:val="21"/>
                <w:szCs w:val="21"/>
                <w:color w:val="auto"/>
              </w:rPr>
              <w:t>processadores, servidores, placas-mãe,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40"/>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40" w:lineRule="exact"/>
              <w:rPr>
                <w:sz w:val="20"/>
                <w:szCs w:val="20"/>
                <w:color w:val="auto"/>
              </w:rPr>
            </w:pPr>
            <w:r>
              <w:rPr>
                <w:rFonts w:ascii="Arial" w:cs="Arial" w:eastAsia="Arial" w:hAnsi="Arial"/>
                <w:sz w:val="21"/>
                <w:szCs w:val="21"/>
                <w:color w:val="auto"/>
              </w:rPr>
              <w:t xml:space="preserve">cartões de memória, </w:t>
            </w:r>
            <w:r>
              <w:rPr>
                <w:rFonts w:ascii="Arial" w:cs="Arial" w:eastAsia="Arial" w:hAnsi="Arial"/>
                <w:sz w:val="21"/>
                <w:szCs w:val="21"/>
                <w:i w:val="1"/>
                <w:iCs w:val="1"/>
                <w:color w:val="auto"/>
              </w:rPr>
              <w:t>webcams</w:t>
            </w:r>
            <w:r>
              <w:rPr>
                <w:rFonts w:ascii="Arial" w:cs="Arial" w:eastAsia="Arial" w:hAnsi="Arial"/>
                <w:sz w:val="21"/>
                <w:szCs w:val="21"/>
                <w:color w:val="auto"/>
              </w:rPr>
              <w:t>,</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armazenamento de mídia etc,</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II-53</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Geradores de energia incluindo alternadores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850,185,028,503</w:t>
            </w:r>
          </w:p>
        </w:tc>
        <w:tc>
          <w:tcPr>
            <w:tcW w:w="680" w:type="dxa"/>
            <w:vAlign w:val="bottom"/>
          </w:tcPr>
          <w:p>
            <w:pPr>
              <w:spacing w:after="0"/>
              <w:rPr>
                <w:sz w:val="19"/>
                <w:szCs w:val="19"/>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9" w:lineRule="exact"/>
              <w:rPr>
                <w:sz w:val="20"/>
                <w:szCs w:val="20"/>
                <w:color w:val="auto"/>
              </w:rPr>
            </w:pPr>
            <w:r>
              <w:rPr>
                <w:rFonts w:ascii="Arial" w:cs="Arial" w:eastAsia="Arial" w:hAnsi="Arial"/>
                <w:sz w:val="21"/>
                <w:szCs w:val="21"/>
                <w:b w:val="1"/>
                <w:bCs w:val="1"/>
                <w:color w:val="auto"/>
              </w:rPr>
              <w:t>II-54</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Ferramentas eléctricas, máquinas de soldar a</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8467, 8515</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arco e outras ferramentas manuais, incluindo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ferramentas eléctricas manuais movidas 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motor.</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11" w:lineRule="exact"/>
              <w:rPr>
                <w:sz w:val="20"/>
                <w:szCs w:val="20"/>
                <w:color w:val="auto"/>
              </w:rPr>
            </w:pPr>
            <w:r>
              <w:rPr>
                <w:rFonts w:ascii="Arial" w:cs="Arial" w:eastAsia="Arial" w:hAnsi="Arial"/>
                <w:sz w:val="21"/>
                <w:szCs w:val="21"/>
                <w:b w:val="1"/>
                <w:bCs w:val="1"/>
                <w:color w:val="auto"/>
              </w:rPr>
              <w:t>II-55</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Fios, cabos, conjuntos de cabos, fibras ópticas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8544, 8536.90, 9001, 7413</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produtos semelhantes, incluindo cabos de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extensão, conectores de fio, haste de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aterramento/ pára-raios e fibras ópticas.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II-56</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Luminárias e suportes para lâmpadas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9405, 8536.61, 8513</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II-57</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Máquinas de fax, telefones fixos e celulares,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8443, 8517.11, 8517.12,</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interfones e produtos de comunicação</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8517.18, 8517.61, 8517.62,</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semelhantes.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8517.69, 8517.70, 8525.50,</w:t>
            </w: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8525.60, 8529</w:t>
            </w:r>
          </w:p>
        </w:tc>
        <w:tc>
          <w:tcPr>
            <w:tcW w:w="680" w:type="dxa"/>
            <w:vAlign w:val="bottom"/>
          </w:tcPr>
          <w:p>
            <w:pPr>
              <w:spacing w:after="0"/>
              <w:rPr>
                <w:sz w:val="22"/>
                <w:szCs w:val="22"/>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9" w:lineRule="exact"/>
              <w:rPr>
                <w:sz w:val="20"/>
                <w:szCs w:val="20"/>
                <w:color w:val="auto"/>
              </w:rPr>
            </w:pPr>
            <w:r>
              <w:rPr>
                <w:rFonts w:ascii="Arial" w:cs="Arial" w:eastAsia="Arial" w:hAnsi="Arial"/>
                <w:sz w:val="21"/>
                <w:szCs w:val="21"/>
                <w:b w:val="1"/>
                <w:bCs w:val="1"/>
                <w:color w:val="auto"/>
              </w:rPr>
              <w:t>II-58</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Interruptores, fichas, tomadas, adaptadores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8536.69, 8536.90</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caixas eléctricas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II-59</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Lâmpadas eléctricas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8539, 7011 (Excl. 7011.20)</w:t>
            </w: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320"/>
              <w:spacing w:after="0" w:line="226" w:lineRule="exact"/>
              <w:rPr>
                <w:sz w:val="20"/>
                <w:szCs w:val="20"/>
                <w:color w:val="auto"/>
              </w:rPr>
            </w:pPr>
            <w:r>
              <w:rPr>
                <w:rFonts w:ascii="Arial" w:cs="Arial" w:eastAsia="Arial" w:hAnsi="Arial"/>
                <w:sz w:val="21"/>
                <w:szCs w:val="21"/>
                <w:b w:val="1"/>
                <w:bCs w:val="1"/>
                <w:color w:val="auto"/>
              </w:rPr>
              <w:t>II-60</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Arrancadores e reactores para lâmpadas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8536.50, 8504.10</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320"/>
              <w:spacing w:after="0" w:line="208" w:lineRule="exact"/>
              <w:rPr>
                <w:sz w:val="20"/>
                <w:szCs w:val="20"/>
                <w:color w:val="auto"/>
              </w:rPr>
            </w:pPr>
            <w:r>
              <w:rPr>
                <w:rFonts w:ascii="Arial" w:cs="Arial" w:eastAsia="Arial" w:hAnsi="Arial"/>
                <w:sz w:val="21"/>
                <w:szCs w:val="21"/>
                <w:b w:val="1"/>
                <w:bCs w:val="1"/>
                <w:color w:val="auto"/>
              </w:rPr>
              <w:t>II-61</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Chaves, disjuntores e fusíveis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8535, 8536.10, 8536.50,</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8536.20, 8536.30, 8536.41,</w:t>
            </w:r>
          </w:p>
        </w:tc>
        <w:tc>
          <w:tcPr>
            <w:tcW w:w="680" w:type="dxa"/>
            <w:vAlign w:val="bottom"/>
          </w:tcPr>
          <w:p>
            <w:pPr>
              <w:spacing w:after="0"/>
              <w:rPr>
                <w:sz w:val="20"/>
                <w:szCs w:val="20"/>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spacing w:after="0"/>
              <w:rPr>
                <w:sz w:val="23"/>
                <w:szCs w:val="23"/>
                <w:color w:val="auto"/>
              </w:rPr>
            </w:pPr>
          </w:p>
        </w:tc>
        <w:tc>
          <w:tcPr>
            <w:tcW w:w="302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8536.49, 8537, 8538, 9107</w:t>
            </w:r>
          </w:p>
        </w:tc>
        <w:tc>
          <w:tcPr>
            <w:tcW w:w="680" w:type="dxa"/>
            <w:vAlign w:val="bottom"/>
          </w:tcPr>
          <w:p>
            <w:pPr>
              <w:spacing w:after="0"/>
              <w:rPr>
                <w:sz w:val="23"/>
                <w:szCs w:val="23"/>
                <w:color w:val="auto"/>
              </w:rPr>
            </w:pPr>
          </w:p>
        </w:tc>
      </w:tr>
      <w:tr>
        <w:trPr>
          <w:trHeight w:val="93"/>
        </w:trPr>
        <w:tc>
          <w:tcPr>
            <w:tcW w:w="1180" w:type="dxa"/>
            <w:vAlign w:val="bottom"/>
            <w:tcBorders>
              <w:right w:val="single" w:sz="8" w:color="auto"/>
            </w:tcBorders>
          </w:tcPr>
          <w:p>
            <w:pPr>
              <w:spacing w:after="0"/>
              <w:rPr>
                <w:sz w:val="8"/>
                <w:szCs w:val="8"/>
                <w:color w:val="auto"/>
              </w:rPr>
            </w:pPr>
          </w:p>
        </w:tc>
        <w:tc>
          <w:tcPr>
            <w:tcW w:w="1080" w:type="dxa"/>
            <w:vAlign w:val="bottom"/>
            <w:tcBorders>
              <w:right w:val="single" w:sz="8" w:color="auto"/>
            </w:tcBorders>
          </w:tcPr>
          <w:p>
            <w:pPr>
              <w:spacing w:after="0"/>
              <w:rPr>
                <w:sz w:val="8"/>
                <w:szCs w:val="8"/>
                <w:color w:val="auto"/>
              </w:rPr>
            </w:pPr>
          </w:p>
        </w:tc>
        <w:tc>
          <w:tcPr>
            <w:tcW w:w="4560" w:type="dxa"/>
            <w:vAlign w:val="bottom"/>
            <w:tcBorders>
              <w:right w:val="single" w:sz="8" w:color="auto"/>
            </w:tcBorders>
          </w:tcPr>
          <w:p>
            <w:pPr>
              <w:spacing w:after="0"/>
              <w:rPr>
                <w:sz w:val="8"/>
                <w:szCs w:val="8"/>
                <w:color w:val="auto"/>
              </w:rPr>
            </w:pPr>
          </w:p>
        </w:tc>
        <w:tc>
          <w:tcPr>
            <w:tcW w:w="3020" w:type="dxa"/>
            <w:vAlign w:val="bottom"/>
            <w:tcBorders>
              <w:right w:val="single" w:sz="8" w:color="auto"/>
            </w:tcBorders>
          </w:tcPr>
          <w:p>
            <w:pPr>
              <w:spacing w:after="0"/>
              <w:rPr>
                <w:sz w:val="8"/>
                <w:szCs w:val="8"/>
                <w:color w:val="auto"/>
              </w:rPr>
            </w:pPr>
          </w:p>
        </w:tc>
        <w:tc>
          <w:tcPr>
            <w:tcW w:w="680" w:type="dxa"/>
            <w:vAlign w:val="bottom"/>
          </w:tcPr>
          <w:p>
            <w:pPr>
              <w:spacing w:after="0"/>
              <w:rPr>
                <w:sz w:val="8"/>
                <w:szCs w:val="8"/>
                <w:color w:val="auto"/>
              </w:rPr>
            </w:pPr>
          </w:p>
        </w:tc>
      </w:tr>
    </w:tbl>
    <w:p>
      <w:pPr>
        <w:sectPr>
          <w:pgSz w:w="11900" w:h="16838" w:orient="portrait"/>
          <w:cols w:equalWidth="0" w:num="1">
            <w:col w:w="10520"/>
          </w:cols>
          <w:pgMar w:left="680" w:top="803" w:right="706" w:bottom="1440" w:gutter="0" w:footer="0" w:header="0"/>
        </w:sectPr>
      </w:pPr>
    </w:p>
    <w:bookmarkStart w:id="11" w:name="page12"/>
    <w:bookmarkEnd w:id="11"/>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41"/>
        </w:trPr>
        <w:tc>
          <w:tcPr>
            <w:tcW w:w="1180" w:type="dxa"/>
            <w:vAlign w:val="bottom"/>
          </w:tcPr>
          <w:p>
            <w:pPr>
              <w:jc w:val="right"/>
              <w:ind w:right="780"/>
              <w:spacing w:after="0"/>
              <w:rPr>
                <w:sz w:val="20"/>
                <w:szCs w:val="20"/>
                <w:color w:val="auto"/>
              </w:rPr>
            </w:pPr>
            <w:r>
              <w:rPr>
                <w:rFonts w:ascii="Times New Roman" w:cs="Times New Roman" w:eastAsia="Times New Roman" w:hAnsi="Times New Roman"/>
                <w:sz w:val="20"/>
                <w:szCs w:val="20"/>
                <w:color w:val="auto"/>
                <w:w w:val="93"/>
              </w:rPr>
              <w:t>356</w:t>
            </w:r>
          </w:p>
        </w:tc>
        <w:tc>
          <w:tcPr>
            <w:tcW w:w="1080" w:type="dxa"/>
            <w:vAlign w:val="bottom"/>
          </w:tcPr>
          <w:p>
            <w:pPr>
              <w:spacing w:after="0"/>
              <w:rPr>
                <w:sz w:val="20"/>
                <w:szCs w:val="20"/>
                <w:color w:val="auto"/>
              </w:rPr>
            </w:pPr>
          </w:p>
        </w:tc>
        <w:tc>
          <w:tcPr>
            <w:tcW w:w="454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780" w:type="dxa"/>
            <w:vAlign w:val="bottom"/>
            <w:gridSpan w:val="2"/>
          </w:tcPr>
          <w:p>
            <w:pPr>
              <w:ind w:left="720"/>
              <w:spacing w:after="0"/>
              <w:rPr>
                <w:sz w:val="20"/>
                <w:szCs w:val="20"/>
                <w:color w:val="auto"/>
              </w:rPr>
            </w:pPr>
            <w:r>
              <w:rPr>
                <w:rFonts w:ascii="Times New Roman" w:cs="Times New Roman" w:eastAsia="Times New Roman" w:hAnsi="Times New Roman"/>
                <w:sz w:val="20"/>
                <w:szCs w:val="20"/>
                <w:i w:val="1"/>
                <w:iCs w:val="1"/>
                <w:color w:val="auto"/>
              </w:rPr>
              <w:t>I SÉRIE — NÚMERO 50</w:t>
            </w:r>
          </w:p>
        </w:tc>
      </w:tr>
      <w:tr>
        <w:trPr>
          <w:trHeight w:val="40"/>
        </w:trPr>
        <w:tc>
          <w:tcPr>
            <w:tcW w:w="1180" w:type="dxa"/>
            <w:vAlign w:val="bottom"/>
            <w:tcBorders>
              <w:bottom w:val="single" w:sz="8" w:color="auto"/>
            </w:tcBorders>
          </w:tcPr>
          <w:p>
            <w:pPr>
              <w:spacing w:after="0"/>
              <w:rPr>
                <w:sz w:val="3"/>
                <w:szCs w:val="3"/>
                <w:color w:val="auto"/>
              </w:rPr>
            </w:pPr>
          </w:p>
        </w:tc>
        <w:tc>
          <w:tcPr>
            <w:tcW w:w="1080" w:type="dxa"/>
            <w:vAlign w:val="bottom"/>
            <w:tcBorders>
              <w:bottom w:val="single" w:sz="8" w:color="auto"/>
            </w:tcBorders>
          </w:tcPr>
          <w:p>
            <w:pPr>
              <w:spacing w:after="0"/>
              <w:rPr>
                <w:sz w:val="3"/>
                <w:szCs w:val="3"/>
                <w:color w:val="auto"/>
              </w:rPr>
            </w:pPr>
          </w:p>
        </w:tc>
        <w:tc>
          <w:tcPr>
            <w:tcW w:w="4540" w:type="dxa"/>
            <w:vAlign w:val="bottom"/>
            <w:tcBorders>
              <w:bottom w:val="single" w:sz="8" w:color="auto"/>
            </w:tcBorders>
          </w:tcPr>
          <w:p>
            <w:pPr>
              <w:spacing w:after="0"/>
              <w:rPr>
                <w:sz w:val="3"/>
                <w:szCs w:val="3"/>
                <w:color w:val="auto"/>
              </w:rPr>
            </w:pPr>
          </w:p>
        </w:tc>
        <w:tc>
          <w:tcPr>
            <w:tcW w:w="940" w:type="dxa"/>
            <w:vAlign w:val="bottom"/>
            <w:tcBorders>
              <w:bottom w:val="single" w:sz="8" w:color="auto"/>
            </w:tcBorders>
          </w:tcPr>
          <w:p>
            <w:pPr>
              <w:spacing w:after="0"/>
              <w:rPr>
                <w:sz w:val="3"/>
                <w:szCs w:val="3"/>
                <w:color w:val="auto"/>
              </w:rPr>
            </w:pPr>
          </w:p>
        </w:tc>
        <w:tc>
          <w:tcPr>
            <w:tcW w:w="210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r>
      <w:tr>
        <w:trPr>
          <w:trHeight w:val="294"/>
        </w:trPr>
        <w:tc>
          <w:tcPr>
            <w:tcW w:w="118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454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10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II-62</w:t>
            </w:r>
          </w:p>
        </w:tc>
        <w:tc>
          <w:tcPr>
            <w:tcW w:w="454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Fonte de alimentação, carregadores de bateria</w:t>
            </w:r>
          </w:p>
        </w:tc>
        <w:tc>
          <w:tcPr>
            <w:tcW w:w="940" w:type="dxa"/>
            <w:vAlign w:val="bottom"/>
          </w:tcPr>
          <w:p>
            <w:pPr>
              <w:ind w:left="80"/>
              <w:spacing w:after="0" w:line="208" w:lineRule="exact"/>
              <w:rPr>
                <w:sz w:val="20"/>
                <w:szCs w:val="20"/>
                <w:color w:val="auto"/>
              </w:rPr>
            </w:pPr>
            <w:r>
              <w:rPr>
                <w:rFonts w:ascii="Arial" w:cs="Arial" w:eastAsia="Arial" w:hAnsi="Arial"/>
                <w:sz w:val="21"/>
                <w:szCs w:val="21"/>
                <w:color w:val="auto"/>
              </w:rPr>
              <w:t>8504.4</w:t>
            </w:r>
          </w:p>
        </w:tc>
        <w:tc>
          <w:tcPr>
            <w:tcW w:w="2100" w:type="dxa"/>
            <w:vAlign w:val="bottom"/>
            <w:tcBorders>
              <w:right w:val="single" w:sz="8" w:color="auto"/>
            </w:tcBorders>
          </w:tcPr>
          <w:p>
            <w:pPr>
              <w:spacing w:after="0"/>
              <w:rPr>
                <w:sz w:val="18"/>
                <w:szCs w:val="18"/>
                <w:color w:val="auto"/>
              </w:rPr>
            </w:pPr>
          </w:p>
        </w:tc>
        <w:tc>
          <w:tcPr>
            <w:tcW w:w="680" w:type="dxa"/>
            <w:vAlign w:val="bottom"/>
          </w:tcPr>
          <w:p>
            <w:pPr>
              <w:spacing w:after="0"/>
              <w:rPr>
                <w:sz w:val="18"/>
                <w:szCs w:val="18"/>
                <w:color w:val="auto"/>
              </w:rPr>
            </w:pPr>
          </w:p>
        </w:tc>
      </w:tr>
      <w:tr>
        <w:trPr>
          <w:trHeight w:val="255"/>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ups</w:t>
            </w:r>
          </w:p>
        </w:tc>
        <w:tc>
          <w:tcPr>
            <w:tcW w:w="940" w:type="dxa"/>
            <w:vAlign w:val="bottom"/>
            <w:tcBorders>
              <w:bottom w:val="single" w:sz="8" w:color="auto"/>
            </w:tcBorders>
          </w:tcPr>
          <w:p>
            <w:pPr>
              <w:spacing w:after="0"/>
              <w:rPr>
                <w:sz w:val="22"/>
                <w:szCs w:val="22"/>
                <w:color w:val="auto"/>
              </w:rPr>
            </w:pPr>
          </w:p>
        </w:tc>
        <w:tc>
          <w:tcPr>
            <w:tcW w:w="210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II-63</w:t>
            </w:r>
          </w:p>
        </w:tc>
        <w:tc>
          <w:tcPr>
            <w:tcW w:w="454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Baterias (excepto baterias automotivas)</w:t>
            </w:r>
          </w:p>
        </w:tc>
        <w:tc>
          <w:tcPr>
            <w:tcW w:w="3040" w:type="dxa"/>
            <w:vAlign w:val="bottom"/>
            <w:tcBorders>
              <w:right w:val="single" w:sz="8" w:color="auto"/>
            </w:tcBorders>
            <w:gridSpan w:val="2"/>
          </w:tcPr>
          <w:p>
            <w:pPr>
              <w:ind w:left="80"/>
              <w:spacing w:after="0" w:line="208" w:lineRule="exact"/>
              <w:rPr>
                <w:sz w:val="20"/>
                <w:szCs w:val="20"/>
                <w:color w:val="auto"/>
              </w:rPr>
            </w:pPr>
            <w:r>
              <w:rPr>
                <w:rFonts w:ascii="Arial" w:cs="Arial" w:eastAsia="Arial" w:hAnsi="Arial"/>
                <w:sz w:val="21"/>
                <w:szCs w:val="21"/>
                <w:color w:val="auto"/>
              </w:rPr>
              <w:t>8506,8507 (Excl. 8507.10),</w:t>
            </w:r>
          </w:p>
        </w:tc>
        <w:tc>
          <w:tcPr>
            <w:tcW w:w="680" w:type="dxa"/>
            <w:vAlign w:val="bottom"/>
          </w:tcPr>
          <w:p>
            <w:pPr>
              <w:spacing w:after="0"/>
              <w:rPr>
                <w:sz w:val="18"/>
                <w:szCs w:val="18"/>
                <w:color w:val="auto"/>
              </w:rPr>
            </w:pPr>
          </w:p>
        </w:tc>
      </w:tr>
      <w:tr>
        <w:trPr>
          <w:trHeight w:val="255"/>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spacing w:after="0"/>
              <w:rPr>
                <w:sz w:val="22"/>
                <w:szCs w:val="22"/>
                <w:color w:val="auto"/>
              </w:rPr>
            </w:pPr>
          </w:p>
        </w:tc>
        <w:tc>
          <w:tcPr>
            <w:tcW w:w="940" w:type="dxa"/>
            <w:vAlign w:val="bottom"/>
            <w:tcBorders>
              <w:bottom w:val="single" w:sz="8" w:color="auto"/>
            </w:tcBorders>
          </w:tcPr>
          <w:p>
            <w:pPr>
              <w:ind w:left="80"/>
              <w:spacing w:after="0"/>
              <w:rPr>
                <w:sz w:val="20"/>
                <w:szCs w:val="20"/>
                <w:color w:val="auto"/>
              </w:rPr>
            </w:pPr>
            <w:r>
              <w:rPr>
                <w:rFonts w:ascii="Arial" w:cs="Arial" w:eastAsia="Arial" w:hAnsi="Arial"/>
                <w:sz w:val="21"/>
                <w:szCs w:val="21"/>
                <w:color w:val="auto"/>
              </w:rPr>
              <w:t>8548</w:t>
            </w:r>
          </w:p>
        </w:tc>
        <w:tc>
          <w:tcPr>
            <w:tcW w:w="210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II-64</w:t>
            </w:r>
          </w:p>
        </w:tc>
        <w:tc>
          <w:tcPr>
            <w:tcW w:w="454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Transformadores de potência</w:t>
            </w:r>
          </w:p>
        </w:tc>
        <w:tc>
          <w:tcPr>
            <w:tcW w:w="3040" w:type="dxa"/>
            <w:vAlign w:val="bottom"/>
            <w:tcBorders>
              <w:bottom w:val="single" w:sz="8" w:color="auto"/>
              <w:right w:val="single" w:sz="8" w:color="auto"/>
            </w:tcBorders>
            <w:gridSpan w:val="2"/>
          </w:tcPr>
          <w:p>
            <w:pPr>
              <w:ind w:left="80"/>
              <w:spacing w:after="0" w:line="226" w:lineRule="exact"/>
              <w:rPr>
                <w:sz w:val="20"/>
                <w:szCs w:val="20"/>
                <w:color w:val="auto"/>
              </w:rPr>
            </w:pPr>
            <w:r>
              <w:rPr>
                <w:rFonts w:ascii="Arial" w:cs="Arial" w:eastAsia="Arial" w:hAnsi="Arial"/>
                <w:sz w:val="21"/>
                <w:szCs w:val="21"/>
                <w:color w:val="auto"/>
              </w:rPr>
              <w:t>8504 (Excl. 8504.10)</w:t>
            </w:r>
          </w:p>
        </w:tc>
        <w:tc>
          <w:tcPr>
            <w:tcW w:w="680" w:type="dxa"/>
            <w:vAlign w:val="bottom"/>
          </w:tcPr>
          <w:p>
            <w:pPr>
              <w:spacing w:after="0"/>
              <w:rPr>
                <w:sz w:val="19"/>
                <w:szCs w:val="19"/>
                <w:color w:val="auto"/>
              </w:rPr>
            </w:pPr>
          </w:p>
        </w:tc>
      </w:tr>
      <w:tr>
        <w:trPr>
          <w:trHeight w:val="228"/>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8" w:lineRule="exact"/>
              <w:rPr>
                <w:sz w:val="20"/>
                <w:szCs w:val="20"/>
                <w:color w:val="auto"/>
              </w:rPr>
            </w:pPr>
            <w:r>
              <w:rPr>
                <w:rFonts w:ascii="Arial" w:cs="Arial" w:eastAsia="Arial" w:hAnsi="Arial"/>
                <w:sz w:val="21"/>
                <w:szCs w:val="21"/>
                <w:b w:val="1"/>
                <w:bCs w:val="1"/>
                <w:color w:val="auto"/>
                <w:w w:val="95"/>
              </w:rPr>
              <w:t>II-65</w:t>
            </w:r>
          </w:p>
        </w:tc>
        <w:tc>
          <w:tcPr>
            <w:tcW w:w="4540" w:type="dxa"/>
            <w:vAlign w:val="bottom"/>
            <w:tcBorders>
              <w:bottom w:val="single" w:sz="8" w:color="auto"/>
              <w:right w:val="single" w:sz="8" w:color="auto"/>
            </w:tcBorders>
          </w:tcPr>
          <w:p>
            <w:pPr>
              <w:ind w:left="80"/>
              <w:spacing w:after="0" w:line="228" w:lineRule="exact"/>
              <w:rPr>
                <w:sz w:val="20"/>
                <w:szCs w:val="20"/>
                <w:color w:val="auto"/>
              </w:rPr>
            </w:pPr>
            <w:r>
              <w:rPr>
                <w:rFonts w:ascii="Arial" w:cs="Arial" w:eastAsia="Arial" w:hAnsi="Arial"/>
                <w:sz w:val="21"/>
                <w:szCs w:val="21"/>
                <w:color w:val="auto"/>
              </w:rPr>
              <w:t>Purificadores de água</w:t>
            </w:r>
          </w:p>
        </w:tc>
        <w:tc>
          <w:tcPr>
            <w:tcW w:w="940" w:type="dxa"/>
            <w:vAlign w:val="bottom"/>
            <w:tcBorders>
              <w:bottom w:val="single" w:sz="8" w:color="auto"/>
            </w:tcBorders>
          </w:tcPr>
          <w:p>
            <w:pPr>
              <w:ind w:left="80"/>
              <w:spacing w:after="0" w:line="228" w:lineRule="exact"/>
              <w:rPr>
                <w:sz w:val="20"/>
                <w:szCs w:val="20"/>
                <w:color w:val="auto"/>
              </w:rPr>
            </w:pPr>
            <w:r>
              <w:rPr>
                <w:rFonts w:ascii="Arial" w:cs="Arial" w:eastAsia="Arial" w:hAnsi="Arial"/>
                <w:sz w:val="21"/>
                <w:szCs w:val="21"/>
                <w:color w:val="auto"/>
              </w:rPr>
              <w:t>8421.21</w:t>
            </w:r>
          </w:p>
        </w:tc>
        <w:tc>
          <w:tcPr>
            <w:tcW w:w="2100" w:type="dxa"/>
            <w:vAlign w:val="bottom"/>
            <w:tcBorders>
              <w:bottom w:val="single" w:sz="8" w:color="auto"/>
              <w:right w:val="single" w:sz="8" w:color="auto"/>
            </w:tcBorders>
          </w:tcPr>
          <w:p>
            <w:pPr>
              <w:spacing w:after="0"/>
              <w:rPr>
                <w:sz w:val="19"/>
                <w:szCs w:val="19"/>
                <w:color w:val="auto"/>
              </w:rPr>
            </w:pP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II-66</w:t>
            </w:r>
          </w:p>
        </w:tc>
        <w:tc>
          <w:tcPr>
            <w:tcW w:w="454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Electrodomésticos movidos a energia solar</w:t>
            </w:r>
          </w:p>
        </w:tc>
        <w:tc>
          <w:tcPr>
            <w:tcW w:w="3040" w:type="dxa"/>
            <w:vAlign w:val="bottom"/>
            <w:tcBorders>
              <w:bottom w:val="single" w:sz="8" w:color="auto"/>
              <w:right w:val="single" w:sz="8" w:color="auto"/>
            </w:tcBorders>
            <w:gridSpan w:val="2"/>
          </w:tcPr>
          <w:p>
            <w:pPr>
              <w:ind w:left="80"/>
              <w:spacing w:after="0" w:line="226" w:lineRule="exact"/>
              <w:rPr>
                <w:sz w:val="20"/>
                <w:szCs w:val="20"/>
                <w:color w:val="auto"/>
              </w:rPr>
            </w:pPr>
            <w:r>
              <w:rPr>
                <w:rFonts w:ascii="Arial" w:cs="Arial" w:eastAsia="Arial" w:hAnsi="Arial"/>
                <w:sz w:val="21"/>
                <w:szCs w:val="21"/>
                <w:color w:val="auto"/>
              </w:rPr>
              <w:t>8419.19, 8501, 8541.40</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II-67</w:t>
            </w:r>
          </w:p>
        </w:tc>
        <w:tc>
          <w:tcPr>
            <w:tcW w:w="454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Campainhas eléctricas de todos os tipos</w:t>
            </w:r>
          </w:p>
        </w:tc>
        <w:tc>
          <w:tcPr>
            <w:tcW w:w="940" w:type="dxa"/>
            <w:vAlign w:val="bottom"/>
          </w:tcPr>
          <w:p>
            <w:pPr>
              <w:ind w:left="80"/>
              <w:spacing w:after="0" w:line="208" w:lineRule="exact"/>
              <w:rPr>
                <w:sz w:val="20"/>
                <w:szCs w:val="20"/>
                <w:color w:val="auto"/>
              </w:rPr>
            </w:pPr>
            <w:r>
              <w:rPr>
                <w:rFonts w:ascii="Arial" w:cs="Arial" w:eastAsia="Arial" w:hAnsi="Arial"/>
                <w:sz w:val="21"/>
                <w:szCs w:val="21"/>
                <w:color w:val="auto"/>
              </w:rPr>
              <w:t>8531</w:t>
            </w:r>
          </w:p>
        </w:tc>
        <w:tc>
          <w:tcPr>
            <w:tcW w:w="2100" w:type="dxa"/>
            <w:vAlign w:val="bottom"/>
            <w:tcBorders>
              <w:right w:val="single" w:sz="8" w:color="auto"/>
            </w:tcBorders>
          </w:tcPr>
          <w:p>
            <w:pPr>
              <w:spacing w:after="0"/>
              <w:rPr>
                <w:sz w:val="18"/>
                <w:szCs w:val="18"/>
                <w:color w:val="auto"/>
              </w:rPr>
            </w:pPr>
          </w:p>
        </w:tc>
        <w:tc>
          <w:tcPr>
            <w:tcW w:w="680" w:type="dxa"/>
            <w:vAlign w:val="bottom"/>
          </w:tcPr>
          <w:p>
            <w:pPr>
              <w:spacing w:after="0"/>
              <w:rPr>
                <w:sz w:val="18"/>
                <w:szCs w:val="18"/>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7" w:lineRule="exact"/>
              <w:rPr>
                <w:sz w:val="20"/>
                <w:szCs w:val="20"/>
                <w:color w:val="auto"/>
              </w:rPr>
            </w:pPr>
            <w:r>
              <w:rPr>
                <w:rFonts w:ascii="Arial" w:cs="Arial" w:eastAsia="Arial" w:hAnsi="Arial"/>
                <w:sz w:val="21"/>
                <w:szCs w:val="21"/>
                <w:color w:val="auto"/>
              </w:rPr>
              <w:t>(incluindo aquelas que são operadas em</w:t>
            </w:r>
          </w:p>
        </w:tc>
        <w:tc>
          <w:tcPr>
            <w:tcW w:w="940" w:type="dxa"/>
            <w:vAlign w:val="bottom"/>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5"/>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tecnologia de inversor (DC)</w:t>
            </w:r>
          </w:p>
        </w:tc>
        <w:tc>
          <w:tcPr>
            <w:tcW w:w="940" w:type="dxa"/>
            <w:vAlign w:val="bottom"/>
            <w:tcBorders>
              <w:bottom w:val="single" w:sz="8" w:color="auto"/>
            </w:tcBorders>
          </w:tcPr>
          <w:p>
            <w:pPr>
              <w:spacing w:after="0"/>
              <w:rPr>
                <w:sz w:val="22"/>
                <w:szCs w:val="22"/>
                <w:color w:val="auto"/>
              </w:rPr>
            </w:pPr>
          </w:p>
        </w:tc>
        <w:tc>
          <w:tcPr>
            <w:tcW w:w="210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II-68</w:t>
            </w:r>
          </w:p>
        </w:tc>
        <w:tc>
          <w:tcPr>
            <w:tcW w:w="454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Elevadores, passadeiras rolantes,</w:t>
            </w:r>
          </w:p>
        </w:tc>
        <w:tc>
          <w:tcPr>
            <w:tcW w:w="3040" w:type="dxa"/>
            <w:vAlign w:val="bottom"/>
            <w:tcBorders>
              <w:right w:val="single" w:sz="8" w:color="auto"/>
            </w:tcBorders>
            <w:gridSpan w:val="2"/>
          </w:tcPr>
          <w:p>
            <w:pPr>
              <w:ind w:left="80"/>
              <w:spacing w:after="0" w:line="208" w:lineRule="exact"/>
              <w:rPr>
                <w:sz w:val="20"/>
                <w:szCs w:val="20"/>
                <w:color w:val="auto"/>
              </w:rPr>
            </w:pPr>
            <w:r>
              <w:rPr>
                <w:rFonts w:ascii="Arial" w:cs="Arial" w:eastAsia="Arial" w:hAnsi="Arial"/>
                <w:sz w:val="21"/>
                <w:szCs w:val="21"/>
                <w:color w:val="auto"/>
              </w:rPr>
              <w:t>8425, 8428, 8431</w:t>
            </w:r>
          </w:p>
        </w:tc>
        <w:tc>
          <w:tcPr>
            <w:tcW w:w="680" w:type="dxa"/>
            <w:vAlign w:val="bottom"/>
          </w:tcPr>
          <w:p>
            <w:pPr>
              <w:spacing w:after="0"/>
              <w:rPr>
                <w:sz w:val="18"/>
                <w:szCs w:val="18"/>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7" w:lineRule="exact"/>
              <w:rPr>
                <w:sz w:val="20"/>
                <w:szCs w:val="20"/>
                <w:color w:val="auto"/>
              </w:rPr>
            </w:pPr>
            <w:r>
              <w:rPr>
                <w:rFonts w:ascii="Arial" w:cs="Arial" w:eastAsia="Arial" w:hAnsi="Arial"/>
                <w:sz w:val="21"/>
                <w:szCs w:val="21"/>
                <w:color w:val="auto"/>
              </w:rPr>
              <w:t>transportadores e produtos semelhantes,</w:t>
            </w:r>
          </w:p>
        </w:tc>
        <w:tc>
          <w:tcPr>
            <w:tcW w:w="940" w:type="dxa"/>
            <w:vAlign w:val="bottom"/>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7" w:lineRule="exact"/>
              <w:rPr>
                <w:sz w:val="20"/>
                <w:szCs w:val="20"/>
                <w:color w:val="auto"/>
              </w:rPr>
            </w:pPr>
            <w:r>
              <w:rPr>
                <w:rFonts w:ascii="Arial" w:cs="Arial" w:eastAsia="Arial" w:hAnsi="Arial"/>
                <w:sz w:val="21"/>
                <w:szCs w:val="21"/>
                <w:color w:val="auto"/>
              </w:rPr>
              <w:t>incluindo elevadores, roldanas ou guinchos</w:t>
            </w:r>
          </w:p>
        </w:tc>
        <w:tc>
          <w:tcPr>
            <w:tcW w:w="940" w:type="dxa"/>
            <w:vAlign w:val="bottom"/>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talhas, etc.</w:t>
            </w:r>
          </w:p>
        </w:tc>
        <w:tc>
          <w:tcPr>
            <w:tcW w:w="940" w:type="dxa"/>
            <w:vAlign w:val="bottom"/>
            <w:tcBorders>
              <w:bottom w:val="single" w:sz="8" w:color="auto"/>
            </w:tcBorders>
          </w:tcPr>
          <w:p>
            <w:pPr>
              <w:spacing w:after="0"/>
              <w:rPr>
                <w:sz w:val="22"/>
                <w:szCs w:val="22"/>
                <w:color w:val="auto"/>
              </w:rPr>
            </w:pPr>
          </w:p>
        </w:tc>
        <w:tc>
          <w:tcPr>
            <w:tcW w:w="210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II-69</w:t>
            </w:r>
          </w:p>
        </w:tc>
        <w:tc>
          <w:tcPr>
            <w:tcW w:w="454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Receptores de rádio e equipamentos de radar</w:t>
            </w:r>
          </w:p>
        </w:tc>
        <w:tc>
          <w:tcPr>
            <w:tcW w:w="3040" w:type="dxa"/>
            <w:vAlign w:val="bottom"/>
            <w:tcBorders>
              <w:right w:val="single" w:sz="8" w:color="auto"/>
            </w:tcBorders>
            <w:gridSpan w:val="2"/>
          </w:tcPr>
          <w:p>
            <w:pPr>
              <w:ind w:left="80"/>
              <w:spacing w:after="0" w:line="208" w:lineRule="exact"/>
              <w:rPr>
                <w:sz w:val="20"/>
                <w:szCs w:val="20"/>
                <w:color w:val="auto"/>
              </w:rPr>
            </w:pPr>
            <w:r>
              <w:rPr>
                <w:rFonts w:ascii="Arial" w:cs="Arial" w:eastAsia="Arial" w:hAnsi="Arial"/>
                <w:sz w:val="21"/>
                <w:szCs w:val="21"/>
                <w:color w:val="auto"/>
              </w:rPr>
              <w:t>8526, 8528.49, 8528.69</w:t>
            </w:r>
          </w:p>
        </w:tc>
        <w:tc>
          <w:tcPr>
            <w:tcW w:w="680" w:type="dxa"/>
            <w:vAlign w:val="bottom"/>
          </w:tcPr>
          <w:p>
            <w:pPr>
              <w:spacing w:after="0"/>
              <w:rPr>
                <w:sz w:val="18"/>
                <w:szCs w:val="18"/>
                <w:color w:val="auto"/>
              </w:rPr>
            </w:pPr>
          </w:p>
        </w:tc>
      </w:tr>
      <w:tr>
        <w:trPr>
          <w:trHeight w:val="255"/>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semelhantes</w:t>
            </w:r>
          </w:p>
        </w:tc>
        <w:tc>
          <w:tcPr>
            <w:tcW w:w="940" w:type="dxa"/>
            <w:vAlign w:val="bottom"/>
            <w:tcBorders>
              <w:bottom w:val="single" w:sz="8" w:color="auto"/>
            </w:tcBorders>
          </w:tcPr>
          <w:p>
            <w:pPr>
              <w:spacing w:after="0"/>
              <w:rPr>
                <w:sz w:val="22"/>
                <w:szCs w:val="22"/>
                <w:color w:val="auto"/>
              </w:rPr>
            </w:pPr>
          </w:p>
        </w:tc>
        <w:tc>
          <w:tcPr>
            <w:tcW w:w="210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II-70</w:t>
            </w:r>
          </w:p>
        </w:tc>
        <w:tc>
          <w:tcPr>
            <w:tcW w:w="4540" w:type="dxa"/>
            <w:vAlign w:val="bottom"/>
            <w:tcBorders>
              <w:right w:val="single" w:sz="8" w:color="auto"/>
            </w:tcBorders>
          </w:tcPr>
          <w:p>
            <w:pPr>
              <w:spacing w:after="0"/>
              <w:rPr>
                <w:sz w:val="18"/>
                <w:szCs w:val="18"/>
                <w:color w:val="auto"/>
              </w:rPr>
            </w:pPr>
          </w:p>
        </w:tc>
        <w:tc>
          <w:tcPr>
            <w:tcW w:w="3040" w:type="dxa"/>
            <w:vAlign w:val="bottom"/>
            <w:tcBorders>
              <w:right w:val="single" w:sz="8" w:color="auto"/>
            </w:tcBorders>
            <w:gridSpan w:val="2"/>
          </w:tcPr>
          <w:p>
            <w:pPr>
              <w:ind w:left="80"/>
              <w:spacing w:after="0" w:line="208" w:lineRule="exact"/>
              <w:rPr>
                <w:sz w:val="20"/>
                <w:szCs w:val="20"/>
                <w:color w:val="auto"/>
              </w:rPr>
            </w:pPr>
            <w:r>
              <w:rPr>
                <w:rFonts w:ascii="Arial" w:cs="Arial" w:eastAsia="Arial" w:hAnsi="Arial"/>
                <w:sz w:val="21"/>
                <w:szCs w:val="21"/>
                <w:color w:val="auto"/>
              </w:rPr>
              <w:t>8422.20, 8422.30, 8422.40,</w:t>
            </w:r>
          </w:p>
        </w:tc>
        <w:tc>
          <w:tcPr>
            <w:tcW w:w="680" w:type="dxa"/>
            <w:vAlign w:val="bottom"/>
          </w:tcPr>
          <w:p>
            <w:pPr>
              <w:spacing w:after="0"/>
              <w:rPr>
                <w:sz w:val="18"/>
                <w:szCs w:val="18"/>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spacing w:after="0"/>
              <w:rPr>
                <w:sz w:val="20"/>
                <w:szCs w:val="20"/>
                <w:color w:val="auto"/>
              </w:rPr>
            </w:pPr>
          </w:p>
        </w:tc>
        <w:tc>
          <w:tcPr>
            <w:tcW w:w="940" w:type="dxa"/>
            <w:vAlign w:val="bottom"/>
          </w:tcPr>
          <w:p>
            <w:pPr>
              <w:ind w:left="80"/>
              <w:spacing w:after="0" w:line="237" w:lineRule="exact"/>
              <w:rPr>
                <w:sz w:val="20"/>
                <w:szCs w:val="20"/>
                <w:color w:val="auto"/>
              </w:rPr>
            </w:pPr>
            <w:r>
              <w:rPr>
                <w:rFonts w:ascii="Arial" w:cs="Arial" w:eastAsia="Arial" w:hAnsi="Arial"/>
                <w:sz w:val="21"/>
                <w:szCs w:val="21"/>
                <w:color w:val="auto"/>
              </w:rPr>
              <w:t>8422.90,</w:t>
            </w:r>
          </w:p>
        </w:tc>
        <w:tc>
          <w:tcPr>
            <w:tcW w:w="2100" w:type="dxa"/>
            <w:vAlign w:val="bottom"/>
            <w:tcBorders>
              <w:right w:val="single" w:sz="8" w:color="auto"/>
            </w:tcBorders>
          </w:tcPr>
          <w:p>
            <w:pPr>
              <w:ind w:left="60"/>
              <w:spacing w:after="0" w:line="237" w:lineRule="exact"/>
              <w:rPr>
                <w:sz w:val="20"/>
                <w:szCs w:val="20"/>
                <w:color w:val="auto"/>
              </w:rPr>
            </w:pPr>
            <w:r>
              <w:rPr>
                <w:rFonts w:ascii="Arial" w:cs="Arial" w:eastAsia="Arial" w:hAnsi="Arial"/>
                <w:sz w:val="21"/>
                <w:szCs w:val="21"/>
                <w:color w:val="auto"/>
              </w:rPr>
              <w:t>8436, 8437, 8438,</w:t>
            </w:r>
          </w:p>
        </w:tc>
        <w:tc>
          <w:tcPr>
            <w:tcW w:w="680" w:type="dxa"/>
            <w:vAlign w:val="bottom"/>
          </w:tcPr>
          <w:p>
            <w:pPr>
              <w:spacing w:after="0"/>
              <w:rPr>
                <w:sz w:val="20"/>
                <w:szCs w:val="20"/>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7" w:lineRule="exact"/>
              <w:rPr>
                <w:sz w:val="20"/>
                <w:szCs w:val="20"/>
                <w:color w:val="auto"/>
              </w:rPr>
            </w:pPr>
            <w:r>
              <w:rPr>
                <w:rFonts w:ascii="Arial" w:cs="Arial" w:eastAsia="Arial" w:hAnsi="Arial"/>
                <w:sz w:val="21"/>
                <w:szCs w:val="21"/>
                <w:color w:val="auto"/>
              </w:rPr>
              <w:t>Maquinaria industrial</w:t>
            </w:r>
          </w:p>
        </w:tc>
        <w:tc>
          <w:tcPr>
            <w:tcW w:w="30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8439, 8435, 8440, 8441, 8442,</w:t>
            </w:r>
          </w:p>
        </w:tc>
        <w:tc>
          <w:tcPr>
            <w:tcW w:w="680" w:type="dxa"/>
            <w:vAlign w:val="bottom"/>
          </w:tcPr>
          <w:p>
            <w:pPr>
              <w:spacing w:after="0"/>
              <w:rPr>
                <w:sz w:val="20"/>
                <w:szCs w:val="20"/>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spacing w:after="0"/>
              <w:rPr>
                <w:sz w:val="20"/>
                <w:szCs w:val="20"/>
                <w:color w:val="auto"/>
              </w:rPr>
            </w:pPr>
          </w:p>
        </w:tc>
        <w:tc>
          <w:tcPr>
            <w:tcW w:w="30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8443, 8445, 8446, 8447, 8448,</w:t>
            </w:r>
          </w:p>
        </w:tc>
        <w:tc>
          <w:tcPr>
            <w:tcW w:w="680" w:type="dxa"/>
            <w:vAlign w:val="bottom"/>
          </w:tcPr>
          <w:p>
            <w:pPr>
              <w:spacing w:after="0"/>
              <w:rPr>
                <w:sz w:val="20"/>
                <w:szCs w:val="20"/>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spacing w:after="0"/>
              <w:rPr>
                <w:sz w:val="20"/>
                <w:szCs w:val="20"/>
                <w:color w:val="auto"/>
              </w:rPr>
            </w:pPr>
          </w:p>
        </w:tc>
        <w:tc>
          <w:tcPr>
            <w:tcW w:w="30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8449, 8453, 8454, 8455, 8457,</w:t>
            </w:r>
          </w:p>
        </w:tc>
        <w:tc>
          <w:tcPr>
            <w:tcW w:w="680" w:type="dxa"/>
            <w:vAlign w:val="bottom"/>
          </w:tcPr>
          <w:p>
            <w:pPr>
              <w:spacing w:after="0"/>
              <w:rPr>
                <w:sz w:val="20"/>
                <w:szCs w:val="20"/>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spacing w:after="0"/>
              <w:rPr>
                <w:sz w:val="20"/>
                <w:szCs w:val="20"/>
                <w:color w:val="auto"/>
              </w:rPr>
            </w:pPr>
          </w:p>
        </w:tc>
        <w:tc>
          <w:tcPr>
            <w:tcW w:w="30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8458, 8459, 8460, 8461, 8462,</w:t>
            </w:r>
          </w:p>
        </w:tc>
        <w:tc>
          <w:tcPr>
            <w:tcW w:w="680" w:type="dxa"/>
            <w:vAlign w:val="bottom"/>
          </w:tcPr>
          <w:p>
            <w:pPr>
              <w:spacing w:after="0"/>
              <w:rPr>
                <w:sz w:val="20"/>
                <w:szCs w:val="20"/>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spacing w:after="0"/>
              <w:rPr>
                <w:sz w:val="20"/>
                <w:szCs w:val="20"/>
                <w:color w:val="auto"/>
              </w:rPr>
            </w:pPr>
          </w:p>
        </w:tc>
        <w:tc>
          <w:tcPr>
            <w:tcW w:w="30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8463, 8464, 8465, 8466, 8474,</w:t>
            </w:r>
          </w:p>
        </w:tc>
        <w:tc>
          <w:tcPr>
            <w:tcW w:w="680" w:type="dxa"/>
            <w:vAlign w:val="bottom"/>
          </w:tcPr>
          <w:p>
            <w:pPr>
              <w:spacing w:after="0"/>
              <w:rPr>
                <w:sz w:val="20"/>
                <w:szCs w:val="20"/>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spacing w:after="0"/>
              <w:rPr>
                <w:sz w:val="20"/>
                <w:szCs w:val="20"/>
                <w:color w:val="auto"/>
              </w:rPr>
            </w:pPr>
          </w:p>
        </w:tc>
        <w:tc>
          <w:tcPr>
            <w:tcW w:w="30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8475, 8477, 8478, 8479, 8480,</w:t>
            </w:r>
          </w:p>
        </w:tc>
        <w:tc>
          <w:tcPr>
            <w:tcW w:w="680" w:type="dxa"/>
            <w:vAlign w:val="bottom"/>
          </w:tcPr>
          <w:p>
            <w:pPr>
              <w:spacing w:after="0"/>
              <w:rPr>
                <w:sz w:val="20"/>
                <w:szCs w:val="20"/>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spacing w:after="0"/>
              <w:rPr>
                <w:sz w:val="20"/>
                <w:szCs w:val="20"/>
                <w:color w:val="auto"/>
              </w:rPr>
            </w:pPr>
          </w:p>
        </w:tc>
        <w:tc>
          <w:tcPr>
            <w:tcW w:w="30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8486, 8487, 8514, 8434 (Excl.</w:t>
            </w:r>
          </w:p>
        </w:tc>
        <w:tc>
          <w:tcPr>
            <w:tcW w:w="680" w:type="dxa"/>
            <w:vAlign w:val="bottom"/>
          </w:tcPr>
          <w:p>
            <w:pPr>
              <w:spacing w:after="0"/>
              <w:rPr>
                <w:sz w:val="20"/>
                <w:szCs w:val="20"/>
                <w:color w:val="auto"/>
              </w:rPr>
            </w:pPr>
          </w:p>
        </w:tc>
      </w:tr>
      <w:tr>
        <w:trPr>
          <w:trHeight w:val="255"/>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spacing w:after="0"/>
              <w:rPr>
                <w:sz w:val="22"/>
                <w:szCs w:val="22"/>
                <w:color w:val="auto"/>
              </w:rPr>
            </w:pPr>
          </w:p>
        </w:tc>
        <w:tc>
          <w:tcPr>
            <w:tcW w:w="940" w:type="dxa"/>
            <w:vAlign w:val="bottom"/>
            <w:tcBorders>
              <w:bottom w:val="single" w:sz="8" w:color="auto"/>
            </w:tcBorders>
          </w:tcPr>
          <w:p>
            <w:pPr>
              <w:ind w:left="80"/>
              <w:spacing w:after="0"/>
              <w:rPr>
                <w:sz w:val="20"/>
                <w:szCs w:val="20"/>
                <w:color w:val="auto"/>
              </w:rPr>
            </w:pPr>
            <w:r>
              <w:rPr>
                <w:rFonts w:ascii="Arial" w:cs="Arial" w:eastAsia="Arial" w:hAnsi="Arial"/>
                <w:sz w:val="21"/>
                <w:szCs w:val="21"/>
                <w:color w:val="auto"/>
              </w:rPr>
              <w:t>8434.10)</w:t>
            </w:r>
          </w:p>
        </w:tc>
        <w:tc>
          <w:tcPr>
            <w:tcW w:w="210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II-71</w:t>
            </w:r>
          </w:p>
        </w:tc>
        <w:tc>
          <w:tcPr>
            <w:tcW w:w="454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Produtos que operam somente com</w:t>
            </w:r>
          </w:p>
        </w:tc>
        <w:tc>
          <w:tcPr>
            <w:tcW w:w="940" w:type="dxa"/>
            <w:vAlign w:val="bottom"/>
          </w:tcPr>
          <w:p>
            <w:pPr>
              <w:ind w:left="80"/>
              <w:spacing w:after="0" w:line="208" w:lineRule="exact"/>
              <w:rPr>
                <w:sz w:val="20"/>
                <w:szCs w:val="20"/>
                <w:color w:val="auto"/>
              </w:rPr>
            </w:pPr>
            <w:r>
              <w:rPr>
                <w:rFonts w:ascii="Arial" w:cs="Arial" w:eastAsia="Arial" w:hAnsi="Arial"/>
                <w:sz w:val="21"/>
                <w:szCs w:val="21"/>
                <w:color w:val="auto"/>
              </w:rPr>
              <w:t>8513</w:t>
            </w:r>
          </w:p>
        </w:tc>
        <w:tc>
          <w:tcPr>
            <w:tcW w:w="2100" w:type="dxa"/>
            <w:vAlign w:val="bottom"/>
            <w:tcBorders>
              <w:right w:val="single" w:sz="8" w:color="auto"/>
            </w:tcBorders>
          </w:tcPr>
          <w:p>
            <w:pPr>
              <w:spacing w:after="0"/>
              <w:rPr>
                <w:sz w:val="18"/>
                <w:szCs w:val="18"/>
                <w:color w:val="auto"/>
              </w:rPr>
            </w:pPr>
          </w:p>
        </w:tc>
        <w:tc>
          <w:tcPr>
            <w:tcW w:w="680" w:type="dxa"/>
            <w:vAlign w:val="bottom"/>
          </w:tcPr>
          <w:p>
            <w:pPr>
              <w:spacing w:after="0"/>
              <w:rPr>
                <w:sz w:val="18"/>
                <w:szCs w:val="18"/>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7" w:lineRule="exact"/>
              <w:rPr>
                <w:sz w:val="20"/>
                <w:szCs w:val="20"/>
                <w:color w:val="auto"/>
              </w:rPr>
            </w:pPr>
            <w:r>
              <w:rPr>
                <w:rFonts w:ascii="Arial" w:cs="Arial" w:eastAsia="Arial" w:hAnsi="Arial"/>
                <w:sz w:val="21"/>
                <w:szCs w:val="21"/>
                <w:color w:val="auto"/>
              </w:rPr>
              <w:t>alimentação de corrente contínua (DC),</w:t>
            </w:r>
          </w:p>
        </w:tc>
        <w:tc>
          <w:tcPr>
            <w:tcW w:w="940" w:type="dxa"/>
            <w:vAlign w:val="bottom"/>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5"/>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operado por bateria</w:t>
            </w:r>
          </w:p>
        </w:tc>
        <w:tc>
          <w:tcPr>
            <w:tcW w:w="940" w:type="dxa"/>
            <w:vAlign w:val="bottom"/>
            <w:tcBorders>
              <w:bottom w:val="single" w:sz="8" w:color="auto"/>
            </w:tcBorders>
          </w:tcPr>
          <w:p>
            <w:pPr>
              <w:spacing w:after="0"/>
              <w:rPr>
                <w:sz w:val="22"/>
                <w:szCs w:val="22"/>
                <w:color w:val="auto"/>
              </w:rPr>
            </w:pPr>
          </w:p>
        </w:tc>
        <w:tc>
          <w:tcPr>
            <w:tcW w:w="210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76"/>
        </w:trPr>
        <w:tc>
          <w:tcPr>
            <w:tcW w:w="1180" w:type="dxa"/>
            <w:vAlign w:val="bottom"/>
            <w:tcBorders>
              <w:right w:val="single" w:sz="8" w:color="auto"/>
            </w:tcBorders>
          </w:tcPr>
          <w:p>
            <w:pPr>
              <w:spacing w:after="0"/>
              <w:rPr>
                <w:sz w:val="24"/>
                <w:szCs w:val="24"/>
                <w:color w:val="auto"/>
              </w:rPr>
            </w:pPr>
          </w:p>
        </w:tc>
        <w:tc>
          <w:tcPr>
            <w:tcW w:w="1080" w:type="dxa"/>
            <w:vAlign w:val="bottom"/>
            <w:tcBorders>
              <w:right w:val="single" w:sz="8" w:color="D9D9D9"/>
            </w:tcBorders>
            <w:shd w:val="clear" w:color="auto" w:fill="D9D9D9"/>
          </w:tcPr>
          <w:p>
            <w:pPr>
              <w:ind w:left="540"/>
              <w:spacing w:after="0"/>
              <w:rPr>
                <w:sz w:val="20"/>
                <w:szCs w:val="20"/>
                <w:color w:val="auto"/>
              </w:rPr>
            </w:pPr>
            <w:r>
              <w:rPr>
                <w:rFonts w:ascii="Arial" w:cs="Arial" w:eastAsia="Arial" w:hAnsi="Arial"/>
                <w:sz w:val="21"/>
                <w:szCs w:val="21"/>
                <w:b w:val="1"/>
                <w:bCs w:val="1"/>
                <w:color w:val="auto"/>
                <w:w w:val="79"/>
              </w:rPr>
              <w:t>Grupo</w:t>
            </w:r>
          </w:p>
        </w:tc>
        <w:tc>
          <w:tcPr>
            <w:tcW w:w="4540" w:type="dxa"/>
            <w:vAlign w:val="bottom"/>
            <w:tcBorders>
              <w:right w:val="single" w:sz="8" w:color="D9D9D9"/>
            </w:tcBorders>
            <w:shd w:val="clear" w:color="auto" w:fill="D9D9D9"/>
          </w:tcPr>
          <w:p>
            <w:pPr>
              <w:ind w:left="140"/>
              <w:spacing w:after="0"/>
              <w:rPr>
                <w:sz w:val="20"/>
                <w:szCs w:val="20"/>
                <w:color w:val="auto"/>
              </w:rPr>
            </w:pPr>
            <w:r>
              <w:rPr>
                <w:rFonts w:ascii="Arial" w:cs="Arial" w:eastAsia="Arial" w:hAnsi="Arial"/>
                <w:sz w:val="21"/>
                <w:szCs w:val="21"/>
                <w:b w:val="1"/>
                <w:bCs w:val="1"/>
                <w:color w:val="auto"/>
                <w:w w:val="97"/>
              </w:rPr>
              <w:t>III – Automotivo, máquinas de terraplenagem</w:t>
            </w:r>
          </w:p>
        </w:tc>
        <w:tc>
          <w:tcPr>
            <w:tcW w:w="3040" w:type="dxa"/>
            <w:vAlign w:val="bottom"/>
            <w:tcBorders>
              <w:right w:val="single" w:sz="8" w:color="auto"/>
            </w:tcBorders>
            <w:gridSpan w:val="2"/>
            <w:shd w:val="clear" w:color="auto" w:fill="D9D9D9"/>
          </w:tcPr>
          <w:p>
            <w:pPr>
              <w:ind w:left="60"/>
              <w:spacing w:after="0"/>
              <w:rPr>
                <w:sz w:val="20"/>
                <w:szCs w:val="20"/>
                <w:color w:val="auto"/>
              </w:rPr>
            </w:pPr>
            <w:r>
              <w:rPr>
                <w:rFonts w:ascii="Arial" w:cs="Arial" w:eastAsia="Arial" w:hAnsi="Arial"/>
                <w:sz w:val="21"/>
                <w:szCs w:val="21"/>
                <w:b w:val="1"/>
                <w:bCs w:val="1"/>
                <w:color w:val="auto"/>
              </w:rPr>
              <w:t>e produtos relacionados</w:t>
            </w:r>
          </w:p>
        </w:tc>
        <w:tc>
          <w:tcPr>
            <w:tcW w:w="680" w:type="dxa"/>
            <w:vAlign w:val="bottom"/>
          </w:tcPr>
          <w:p>
            <w:pPr>
              <w:spacing w:after="0"/>
              <w:rPr>
                <w:sz w:val="24"/>
                <w:szCs w:val="24"/>
                <w:color w:val="auto"/>
              </w:rPr>
            </w:pPr>
          </w:p>
        </w:tc>
      </w:tr>
      <w:tr>
        <w:trPr>
          <w:trHeight w:val="69"/>
        </w:trPr>
        <w:tc>
          <w:tcPr>
            <w:tcW w:w="1180" w:type="dxa"/>
            <w:vAlign w:val="bottom"/>
            <w:tcBorders>
              <w:right w:val="single" w:sz="8" w:color="auto"/>
            </w:tcBorders>
          </w:tcPr>
          <w:p>
            <w:pPr>
              <w:spacing w:after="0"/>
              <w:rPr>
                <w:sz w:val="6"/>
                <w:szCs w:val="6"/>
                <w:color w:val="auto"/>
              </w:rPr>
            </w:pPr>
          </w:p>
        </w:tc>
        <w:tc>
          <w:tcPr>
            <w:tcW w:w="1080" w:type="dxa"/>
            <w:vAlign w:val="bottom"/>
            <w:tcBorders>
              <w:bottom w:val="single" w:sz="8" w:color="auto"/>
              <w:right w:val="single" w:sz="8" w:color="D9D9D9"/>
            </w:tcBorders>
            <w:shd w:val="clear" w:color="auto" w:fill="D9D9D9"/>
          </w:tcPr>
          <w:p>
            <w:pPr>
              <w:spacing w:after="0"/>
              <w:rPr>
                <w:sz w:val="6"/>
                <w:szCs w:val="6"/>
                <w:color w:val="auto"/>
              </w:rPr>
            </w:pPr>
          </w:p>
        </w:tc>
        <w:tc>
          <w:tcPr>
            <w:tcW w:w="4540" w:type="dxa"/>
            <w:vAlign w:val="bottom"/>
            <w:tcBorders>
              <w:bottom w:val="single" w:sz="8" w:color="auto"/>
              <w:right w:val="single" w:sz="8" w:color="D9D9D9"/>
            </w:tcBorders>
            <w:shd w:val="clear" w:color="auto" w:fill="D9D9D9"/>
          </w:tcPr>
          <w:p>
            <w:pPr>
              <w:spacing w:after="0"/>
              <w:rPr>
                <w:sz w:val="6"/>
                <w:szCs w:val="6"/>
                <w:color w:val="auto"/>
              </w:rPr>
            </w:pPr>
          </w:p>
        </w:tc>
        <w:tc>
          <w:tcPr>
            <w:tcW w:w="940" w:type="dxa"/>
            <w:vAlign w:val="bottom"/>
            <w:tcBorders>
              <w:bottom w:val="single" w:sz="8" w:color="auto"/>
            </w:tcBorders>
            <w:shd w:val="clear" w:color="auto" w:fill="D9D9D9"/>
          </w:tcPr>
          <w:p>
            <w:pPr>
              <w:spacing w:after="0"/>
              <w:rPr>
                <w:sz w:val="6"/>
                <w:szCs w:val="6"/>
                <w:color w:val="auto"/>
              </w:rPr>
            </w:pPr>
          </w:p>
        </w:tc>
        <w:tc>
          <w:tcPr>
            <w:tcW w:w="2100" w:type="dxa"/>
            <w:vAlign w:val="bottom"/>
            <w:tcBorders>
              <w:bottom w:val="single" w:sz="8" w:color="auto"/>
              <w:right w:val="single" w:sz="8" w:color="auto"/>
            </w:tcBorders>
            <w:shd w:val="clear" w:color="auto" w:fill="D9D9D9"/>
          </w:tcPr>
          <w:p>
            <w:pPr>
              <w:spacing w:after="0"/>
              <w:rPr>
                <w:sz w:val="6"/>
                <w:szCs w:val="6"/>
                <w:color w:val="auto"/>
              </w:rPr>
            </w:pPr>
          </w:p>
        </w:tc>
        <w:tc>
          <w:tcPr>
            <w:tcW w:w="680" w:type="dxa"/>
            <w:vAlign w:val="bottom"/>
          </w:tcPr>
          <w:p>
            <w:pPr>
              <w:spacing w:after="0"/>
              <w:rPr>
                <w:sz w:val="6"/>
                <w:szCs w:val="6"/>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4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940" w:type="dxa"/>
            <w:vAlign w:val="bottom"/>
            <w:tcBorders>
              <w:bottom w:val="single" w:sz="8" w:color="auto"/>
            </w:tcBorders>
          </w:tcPr>
          <w:p>
            <w:pPr>
              <w:spacing w:after="0"/>
              <w:rPr>
                <w:sz w:val="19"/>
                <w:szCs w:val="19"/>
                <w:color w:val="auto"/>
              </w:rPr>
            </w:pPr>
          </w:p>
        </w:tc>
        <w:tc>
          <w:tcPr>
            <w:tcW w:w="2100" w:type="dxa"/>
            <w:vAlign w:val="bottom"/>
            <w:tcBorders>
              <w:bottom w:val="single" w:sz="8" w:color="auto"/>
              <w:right w:val="single" w:sz="8" w:color="auto"/>
            </w:tcBorders>
          </w:tcPr>
          <w:p>
            <w:pPr>
              <w:ind w:left="4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rPr>
              <w:t>III-01</w:t>
            </w:r>
          </w:p>
        </w:tc>
        <w:tc>
          <w:tcPr>
            <w:tcW w:w="454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Veículos motorizados usados e motos usadas</w:t>
            </w:r>
          </w:p>
        </w:tc>
        <w:tc>
          <w:tcPr>
            <w:tcW w:w="3040" w:type="dxa"/>
            <w:vAlign w:val="bottom"/>
            <w:tcBorders>
              <w:bottom w:val="single" w:sz="8" w:color="auto"/>
              <w:right w:val="single" w:sz="8" w:color="auto"/>
            </w:tcBorders>
            <w:gridSpan w:val="2"/>
          </w:tcPr>
          <w:p>
            <w:pPr>
              <w:ind w:left="80"/>
              <w:spacing w:after="0" w:line="226" w:lineRule="exact"/>
              <w:rPr>
                <w:sz w:val="20"/>
                <w:szCs w:val="20"/>
                <w:color w:val="auto"/>
              </w:rPr>
            </w:pPr>
            <w:r>
              <w:rPr>
                <w:rFonts w:ascii="Arial" w:cs="Arial" w:eastAsia="Arial" w:hAnsi="Arial"/>
                <w:sz w:val="21"/>
                <w:szCs w:val="21"/>
                <w:color w:val="auto"/>
              </w:rPr>
              <w:t>8702, 8703, 8704, 8705, 8711</w:t>
            </w:r>
          </w:p>
        </w:tc>
        <w:tc>
          <w:tcPr>
            <w:tcW w:w="680" w:type="dxa"/>
            <w:vAlign w:val="bottom"/>
          </w:tcPr>
          <w:p>
            <w:pPr>
              <w:spacing w:after="0"/>
              <w:rPr>
                <w:sz w:val="19"/>
                <w:szCs w:val="19"/>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10" w:lineRule="exact"/>
              <w:rPr>
                <w:sz w:val="20"/>
                <w:szCs w:val="20"/>
                <w:color w:val="auto"/>
              </w:rPr>
            </w:pPr>
            <w:r>
              <w:rPr>
                <w:rFonts w:ascii="Arial" w:cs="Arial" w:eastAsia="Arial" w:hAnsi="Arial"/>
                <w:sz w:val="21"/>
                <w:szCs w:val="21"/>
                <w:b w:val="1"/>
                <w:bCs w:val="1"/>
                <w:color w:val="auto"/>
              </w:rPr>
              <w:t>III-02</w:t>
            </w:r>
          </w:p>
        </w:tc>
        <w:tc>
          <w:tcPr>
            <w:tcW w:w="4540" w:type="dxa"/>
            <w:vAlign w:val="bottom"/>
            <w:tcBorders>
              <w:right w:val="single" w:sz="8" w:color="auto"/>
            </w:tcBorders>
          </w:tcPr>
          <w:p>
            <w:pPr>
              <w:ind w:left="80"/>
              <w:spacing w:after="0" w:line="210" w:lineRule="exact"/>
              <w:rPr>
                <w:sz w:val="20"/>
                <w:szCs w:val="20"/>
                <w:color w:val="auto"/>
              </w:rPr>
            </w:pPr>
            <w:r>
              <w:rPr>
                <w:rFonts w:ascii="Arial" w:cs="Arial" w:eastAsia="Arial" w:hAnsi="Arial"/>
                <w:sz w:val="21"/>
                <w:szCs w:val="21"/>
                <w:color w:val="auto"/>
              </w:rPr>
              <w:t>Peças sobressalentes para veículos, incluindo</w:t>
            </w:r>
          </w:p>
        </w:tc>
        <w:tc>
          <w:tcPr>
            <w:tcW w:w="3040" w:type="dxa"/>
            <w:vAlign w:val="bottom"/>
            <w:tcBorders>
              <w:right w:val="single" w:sz="8" w:color="auto"/>
            </w:tcBorders>
            <w:gridSpan w:val="2"/>
          </w:tcPr>
          <w:p>
            <w:pPr>
              <w:ind w:left="80"/>
              <w:spacing w:after="0" w:line="210" w:lineRule="exact"/>
              <w:rPr>
                <w:sz w:val="20"/>
                <w:szCs w:val="20"/>
                <w:color w:val="auto"/>
              </w:rPr>
            </w:pPr>
            <w:r>
              <w:rPr>
                <w:rFonts w:ascii="Arial" w:cs="Arial" w:eastAsia="Arial" w:hAnsi="Arial"/>
                <w:sz w:val="21"/>
                <w:szCs w:val="21"/>
                <w:color w:val="auto"/>
              </w:rPr>
              <w:t>6813, 7009.10, 7014, 7320.10,</w:t>
            </w:r>
          </w:p>
        </w:tc>
        <w:tc>
          <w:tcPr>
            <w:tcW w:w="680" w:type="dxa"/>
            <w:vAlign w:val="bottom"/>
          </w:tcPr>
          <w:p>
            <w:pPr>
              <w:spacing w:after="0"/>
              <w:rPr>
                <w:sz w:val="18"/>
                <w:szCs w:val="18"/>
                <w:color w:val="auto"/>
              </w:rPr>
            </w:pPr>
          </w:p>
        </w:tc>
      </w:tr>
      <w:tr>
        <w:trPr>
          <w:trHeight w:val="235"/>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5" w:lineRule="exact"/>
              <w:rPr>
                <w:sz w:val="20"/>
                <w:szCs w:val="20"/>
                <w:color w:val="auto"/>
              </w:rPr>
            </w:pPr>
            <w:r>
              <w:rPr>
                <w:rFonts w:ascii="Arial" w:cs="Arial" w:eastAsia="Arial" w:hAnsi="Arial"/>
                <w:sz w:val="21"/>
                <w:szCs w:val="21"/>
                <w:color w:val="auto"/>
                <w:w w:val="99"/>
              </w:rPr>
              <w:t>veículos motorizados e não motorizados, velas,</w:t>
            </w:r>
          </w:p>
        </w:tc>
        <w:tc>
          <w:tcPr>
            <w:tcW w:w="3040" w:type="dxa"/>
            <w:vAlign w:val="bottom"/>
            <w:tcBorders>
              <w:right w:val="single" w:sz="8" w:color="auto"/>
            </w:tcBorders>
            <w:gridSpan w:val="2"/>
          </w:tcPr>
          <w:p>
            <w:pPr>
              <w:ind w:left="80"/>
              <w:spacing w:after="0" w:line="235" w:lineRule="exact"/>
              <w:rPr>
                <w:sz w:val="20"/>
                <w:szCs w:val="20"/>
                <w:color w:val="auto"/>
              </w:rPr>
            </w:pPr>
            <w:r>
              <w:rPr>
                <w:rFonts w:ascii="Arial" w:cs="Arial" w:eastAsia="Arial" w:hAnsi="Arial"/>
                <w:sz w:val="21"/>
                <w:szCs w:val="21"/>
                <w:color w:val="auto"/>
              </w:rPr>
              <w:t>7320.20, 7322, 8706, 8707,</w:t>
            </w:r>
          </w:p>
        </w:tc>
        <w:tc>
          <w:tcPr>
            <w:tcW w:w="680" w:type="dxa"/>
            <w:vAlign w:val="bottom"/>
          </w:tcPr>
          <w:p>
            <w:pPr>
              <w:spacing w:after="0"/>
              <w:rPr>
                <w:sz w:val="20"/>
                <w:szCs w:val="20"/>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7" w:lineRule="exact"/>
              <w:rPr>
                <w:sz w:val="20"/>
                <w:szCs w:val="20"/>
                <w:color w:val="auto"/>
              </w:rPr>
            </w:pPr>
            <w:r>
              <w:rPr>
                <w:rFonts w:ascii="Arial" w:cs="Arial" w:eastAsia="Arial" w:hAnsi="Arial"/>
                <w:sz w:val="21"/>
                <w:szCs w:val="21"/>
                <w:color w:val="auto"/>
              </w:rPr>
              <w:t>filtro de óleo, bombas de óleo e filtros de</w:t>
            </w:r>
          </w:p>
        </w:tc>
        <w:tc>
          <w:tcPr>
            <w:tcW w:w="30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8708, 8714 (Excl. 8714.10)</w:t>
            </w:r>
          </w:p>
        </w:tc>
        <w:tc>
          <w:tcPr>
            <w:tcW w:w="680" w:type="dxa"/>
            <w:vAlign w:val="bottom"/>
          </w:tcPr>
          <w:p>
            <w:pPr>
              <w:spacing w:after="0"/>
              <w:rPr>
                <w:sz w:val="20"/>
                <w:szCs w:val="20"/>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7" w:lineRule="exact"/>
              <w:rPr>
                <w:sz w:val="20"/>
                <w:szCs w:val="20"/>
                <w:color w:val="auto"/>
              </w:rPr>
            </w:pPr>
            <w:r>
              <w:rPr>
                <w:rFonts w:ascii="Arial" w:cs="Arial" w:eastAsia="Arial" w:hAnsi="Arial"/>
                <w:sz w:val="21"/>
                <w:szCs w:val="21"/>
                <w:color w:val="auto"/>
              </w:rPr>
              <w:t>combustível, mas excluindo os descritos no</w:t>
            </w:r>
          </w:p>
        </w:tc>
        <w:tc>
          <w:tcPr>
            <w:tcW w:w="30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8716, 8424.10, 8424.89,</w:t>
            </w:r>
          </w:p>
        </w:tc>
        <w:tc>
          <w:tcPr>
            <w:tcW w:w="680" w:type="dxa"/>
            <w:vAlign w:val="bottom"/>
          </w:tcPr>
          <w:p>
            <w:pPr>
              <w:spacing w:after="0"/>
              <w:rPr>
                <w:sz w:val="20"/>
                <w:szCs w:val="20"/>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7" w:lineRule="exact"/>
              <w:rPr>
                <w:sz w:val="20"/>
                <w:szCs w:val="20"/>
                <w:color w:val="auto"/>
              </w:rPr>
            </w:pPr>
            <w:r>
              <w:rPr>
                <w:rFonts w:ascii="Arial" w:cs="Arial" w:eastAsia="Arial" w:hAnsi="Arial"/>
                <w:sz w:val="21"/>
                <w:szCs w:val="21"/>
                <w:color w:val="auto"/>
              </w:rPr>
              <w:t>código HS 8714.10</w:t>
            </w:r>
          </w:p>
        </w:tc>
        <w:tc>
          <w:tcPr>
            <w:tcW w:w="30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8426.91, 8511 ,8512, 8421.23,</w:t>
            </w:r>
          </w:p>
        </w:tc>
        <w:tc>
          <w:tcPr>
            <w:tcW w:w="680" w:type="dxa"/>
            <w:vAlign w:val="bottom"/>
          </w:tcPr>
          <w:p>
            <w:pPr>
              <w:spacing w:after="0"/>
              <w:rPr>
                <w:sz w:val="20"/>
                <w:szCs w:val="20"/>
                <w:color w:val="auto"/>
              </w:rPr>
            </w:pPr>
          </w:p>
        </w:tc>
      </w:tr>
      <w:tr>
        <w:trPr>
          <w:trHeight w:val="255"/>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spacing w:after="0"/>
              <w:rPr>
                <w:sz w:val="22"/>
                <w:szCs w:val="22"/>
                <w:color w:val="auto"/>
              </w:rPr>
            </w:pPr>
          </w:p>
        </w:tc>
        <w:tc>
          <w:tcPr>
            <w:tcW w:w="940" w:type="dxa"/>
            <w:vAlign w:val="bottom"/>
            <w:tcBorders>
              <w:bottom w:val="single" w:sz="8" w:color="auto"/>
            </w:tcBorders>
          </w:tcPr>
          <w:p>
            <w:pPr>
              <w:ind w:left="80"/>
              <w:spacing w:after="0"/>
              <w:rPr>
                <w:sz w:val="20"/>
                <w:szCs w:val="20"/>
                <w:color w:val="auto"/>
              </w:rPr>
            </w:pPr>
            <w:r>
              <w:rPr>
                <w:rFonts w:ascii="Arial" w:cs="Arial" w:eastAsia="Arial" w:hAnsi="Arial"/>
                <w:sz w:val="21"/>
                <w:szCs w:val="21"/>
                <w:color w:val="auto"/>
              </w:rPr>
              <w:t>8421.31</w:t>
            </w:r>
          </w:p>
        </w:tc>
        <w:tc>
          <w:tcPr>
            <w:tcW w:w="210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5"/>
        </w:trPr>
        <w:tc>
          <w:tcPr>
            <w:tcW w:w="1180" w:type="dxa"/>
            <w:vAlign w:val="bottom"/>
            <w:tcBorders>
              <w:right w:val="single" w:sz="8" w:color="auto"/>
            </w:tcBorders>
          </w:tcPr>
          <w:p>
            <w:pPr>
              <w:spacing w:after="0"/>
              <w:rPr>
                <w:sz w:val="19"/>
                <w:szCs w:val="19"/>
                <w:color w:val="auto"/>
              </w:rPr>
            </w:pPr>
          </w:p>
        </w:tc>
        <w:tc>
          <w:tcPr>
            <w:tcW w:w="1080" w:type="dxa"/>
            <w:vAlign w:val="bottom"/>
            <w:tcBorders>
              <w:right w:val="single" w:sz="8" w:color="auto"/>
            </w:tcBorders>
          </w:tcPr>
          <w:p>
            <w:pPr>
              <w:jc w:val="center"/>
              <w:spacing w:after="0" w:line="225" w:lineRule="exact"/>
              <w:rPr>
                <w:sz w:val="20"/>
                <w:szCs w:val="20"/>
                <w:color w:val="auto"/>
              </w:rPr>
            </w:pPr>
            <w:r>
              <w:rPr>
                <w:rFonts w:ascii="Arial" w:cs="Arial" w:eastAsia="Arial" w:hAnsi="Arial"/>
                <w:sz w:val="21"/>
                <w:szCs w:val="21"/>
                <w:b w:val="1"/>
                <w:bCs w:val="1"/>
                <w:color w:val="auto"/>
              </w:rPr>
              <w:t>III-03</w:t>
            </w:r>
          </w:p>
        </w:tc>
        <w:tc>
          <w:tcPr>
            <w:tcW w:w="4540" w:type="dxa"/>
            <w:vAlign w:val="bottom"/>
            <w:tcBorders>
              <w:right w:val="single" w:sz="8" w:color="auto"/>
            </w:tcBorders>
          </w:tcPr>
          <w:p>
            <w:pPr>
              <w:ind w:left="80"/>
              <w:spacing w:after="0" w:line="225" w:lineRule="exact"/>
              <w:rPr>
                <w:sz w:val="20"/>
                <w:szCs w:val="20"/>
                <w:color w:val="auto"/>
              </w:rPr>
            </w:pPr>
            <w:r>
              <w:rPr>
                <w:rFonts w:ascii="Arial" w:cs="Arial" w:eastAsia="Arial" w:hAnsi="Arial"/>
                <w:sz w:val="21"/>
                <w:szCs w:val="21"/>
                <w:color w:val="auto"/>
              </w:rPr>
              <w:t>Pneumáticos novos, Pneus de borracha</w:t>
            </w:r>
            <w:r>
              <w:rPr>
                <w:rFonts w:ascii="Calibri" w:cs="Calibri" w:eastAsia="Calibri" w:hAnsi="Calibri"/>
                <w:sz w:val="21"/>
                <w:szCs w:val="21"/>
                <w:color w:val="auto"/>
              </w:rPr>
              <w:t>,</w:t>
            </w:r>
          </w:p>
        </w:tc>
        <w:tc>
          <w:tcPr>
            <w:tcW w:w="3040" w:type="dxa"/>
            <w:vAlign w:val="bottom"/>
            <w:tcBorders>
              <w:right w:val="single" w:sz="8" w:color="auto"/>
            </w:tcBorders>
            <w:gridSpan w:val="2"/>
          </w:tcPr>
          <w:p>
            <w:pPr>
              <w:ind w:left="80"/>
              <w:spacing w:after="0" w:line="225" w:lineRule="exact"/>
              <w:rPr>
                <w:sz w:val="20"/>
                <w:szCs w:val="20"/>
                <w:color w:val="auto"/>
              </w:rPr>
            </w:pPr>
            <w:r>
              <w:rPr>
                <w:rFonts w:ascii="Arial" w:cs="Arial" w:eastAsia="Arial" w:hAnsi="Arial"/>
                <w:sz w:val="21"/>
                <w:szCs w:val="21"/>
                <w:color w:val="auto"/>
              </w:rPr>
              <w:t>4011, 4012, 4013</w:t>
            </w:r>
          </w:p>
        </w:tc>
        <w:tc>
          <w:tcPr>
            <w:tcW w:w="680" w:type="dxa"/>
            <w:vAlign w:val="bottom"/>
          </w:tcPr>
          <w:p>
            <w:pPr>
              <w:spacing w:after="0"/>
              <w:rPr>
                <w:sz w:val="19"/>
                <w:szCs w:val="19"/>
                <w:color w:val="auto"/>
              </w:rPr>
            </w:pPr>
          </w:p>
        </w:tc>
      </w:tr>
      <w:tr>
        <w:trPr>
          <w:trHeight w:val="237"/>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7" w:lineRule="exact"/>
              <w:rPr>
                <w:sz w:val="20"/>
                <w:szCs w:val="20"/>
                <w:color w:val="auto"/>
              </w:rPr>
            </w:pPr>
            <w:r>
              <w:rPr>
                <w:rFonts w:ascii="Arial" w:cs="Arial" w:eastAsia="Arial" w:hAnsi="Arial"/>
                <w:sz w:val="21"/>
                <w:szCs w:val="21"/>
                <w:color w:val="auto"/>
              </w:rPr>
              <w:t>Pneumáticos recauchutados ou usados,</w:t>
            </w:r>
          </w:p>
        </w:tc>
        <w:tc>
          <w:tcPr>
            <w:tcW w:w="940" w:type="dxa"/>
            <w:vAlign w:val="bottom"/>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5"/>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5" w:lineRule="exact"/>
              <w:rPr>
                <w:sz w:val="20"/>
                <w:szCs w:val="20"/>
                <w:color w:val="auto"/>
              </w:rPr>
            </w:pPr>
            <w:r>
              <w:rPr>
                <w:rFonts w:ascii="Arial" w:cs="Arial" w:eastAsia="Arial" w:hAnsi="Arial"/>
                <w:sz w:val="21"/>
                <w:szCs w:val="21"/>
                <w:color w:val="auto"/>
              </w:rPr>
              <w:t>protectores, bandas de rodagem</w:t>
            </w:r>
          </w:p>
        </w:tc>
        <w:tc>
          <w:tcPr>
            <w:tcW w:w="940" w:type="dxa"/>
            <w:vAlign w:val="bottom"/>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9"/>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80"/>
              <w:spacing w:after="0" w:line="239" w:lineRule="exact"/>
              <w:rPr>
                <w:sz w:val="20"/>
                <w:szCs w:val="20"/>
                <w:color w:val="auto"/>
              </w:rPr>
            </w:pPr>
            <w:r>
              <w:rPr>
                <w:rFonts w:ascii="Arial" w:cs="Arial" w:eastAsia="Arial" w:hAnsi="Arial"/>
                <w:sz w:val="21"/>
                <w:szCs w:val="21"/>
                <w:color w:val="auto"/>
              </w:rPr>
              <w:t xml:space="preserve">para pneumáticos e </w:t>
            </w:r>
            <w:r>
              <w:rPr>
                <w:rFonts w:ascii="Arial" w:cs="Arial" w:eastAsia="Arial" w:hAnsi="Arial"/>
                <w:sz w:val="21"/>
                <w:szCs w:val="21"/>
                <w:i w:val="1"/>
                <w:iCs w:val="1"/>
                <w:color w:val="auto"/>
              </w:rPr>
              <w:t>flaps</w:t>
            </w:r>
            <w:r>
              <w:rPr>
                <w:rFonts w:ascii="Arial" w:cs="Arial" w:eastAsia="Arial" w:hAnsi="Arial"/>
                <w:sz w:val="21"/>
                <w:szCs w:val="21"/>
                <w:color w:val="auto"/>
              </w:rPr>
              <w:t>, Câmaras-de- ar</w:t>
            </w:r>
          </w:p>
        </w:tc>
        <w:tc>
          <w:tcPr>
            <w:tcW w:w="940" w:type="dxa"/>
            <w:vAlign w:val="bottom"/>
          </w:tcPr>
          <w:p>
            <w:pPr>
              <w:spacing w:after="0"/>
              <w:rPr>
                <w:sz w:val="20"/>
                <w:szCs w:val="20"/>
                <w:color w:val="auto"/>
              </w:rPr>
            </w:pPr>
          </w:p>
        </w:tc>
        <w:tc>
          <w:tcPr>
            <w:tcW w:w="210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spacing w:after="0"/>
              <w:rPr>
                <w:sz w:val="23"/>
                <w:szCs w:val="23"/>
                <w:color w:val="auto"/>
              </w:rPr>
            </w:pPr>
          </w:p>
        </w:tc>
        <w:tc>
          <w:tcPr>
            <w:tcW w:w="454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de borracha</w:t>
            </w:r>
          </w:p>
        </w:tc>
        <w:tc>
          <w:tcPr>
            <w:tcW w:w="940" w:type="dxa"/>
            <w:vAlign w:val="bottom"/>
          </w:tcPr>
          <w:p>
            <w:pPr>
              <w:spacing w:after="0"/>
              <w:rPr>
                <w:sz w:val="23"/>
                <w:szCs w:val="23"/>
                <w:color w:val="auto"/>
              </w:rPr>
            </w:pPr>
          </w:p>
        </w:tc>
        <w:tc>
          <w:tcPr>
            <w:tcW w:w="2100" w:type="dxa"/>
            <w:vAlign w:val="bottom"/>
            <w:tcBorders>
              <w:right w:val="single" w:sz="8" w:color="auto"/>
            </w:tcBorders>
          </w:tcPr>
          <w:p>
            <w:pPr>
              <w:spacing w:after="0"/>
              <w:rPr>
                <w:sz w:val="23"/>
                <w:szCs w:val="23"/>
                <w:color w:val="auto"/>
              </w:rPr>
            </w:pPr>
          </w:p>
        </w:tc>
        <w:tc>
          <w:tcPr>
            <w:tcW w:w="680" w:type="dxa"/>
            <w:vAlign w:val="bottom"/>
          </w:tcPr>
          <w:p>
            <w:pPr>
              <w:spacing w:after="0"/>
              <w:rPr>
                <w:sz w:val="23"/>
                <w:szCs w:val="23"/>
                <w:color w:val="auto"/>
              </w:rPr>
            </w:pPr>
          </w:p>
        </w:tc>
      </w:tr>
      <w:tr>
        <w:trPr>
          <w:trHeight w:val="131"/>
        </w:trPr>
        <w:tc>
          <w:tcPr>
            <w:tcW w:w="1180" w:type="dxa"/>
            <w:vAlign w:val="bottom"/>
            <w:tcBorders>
              <w:right w:val="single" w:sz="8" w:color="auto"/>
            </w:tcBorders>
          </w:tcPr>
          <w:p>
            <w:pPr>
              <w:spacing w:after="0"/>
              <w:rPr>
                <w:sz w:val="11"/>
                <w:szCs w:val="11"/>
                <w:color w:val="auto"/>
              </w:rPr>
            </w:pPr>
          </w:p>
        </w:tc>
        <w:tc>
          <w:tcPr>
            <w:tcW w:w="1080" w:type="dxa"/>
            <w:vAlign w:val="bottom"/>
            <w:tcBorders>
              <w:right w:val="single" w:sz="8" w:color="auto"/>
            </w:tcBorders>
          </w:tcPr>
          <w:p>
            <w:pPr>
              <w:spacing w:after="0"/>
              <w:rPr>
                <w:sz w:val="11"/>
                <w:szCs w:val="11"/>
                <w:color w:val="auto"/>
              </w:rPr>
            </w:pPr>
          </w:p>
        </w:tc>
        <w:tc>
          <w:tcPr>
            <w:tcW w:w="4540" w:type="dxa"/>
            <w:vAlign w:val="bottom"/>
            <w:tcBorders>
              <w:right w:val="single" w:sz="8" w:color="auto"/>
            </w:tcBorders>
          </w:tcPr>
          <w:p>
            <w:pPr>
              <w:spacing w:after="0"/>
              <w:rPr>
                <w:sz w:val="11"/>
                <w:szCs w:val="11"/>
                <w:color w:val="auto"/>
              </w:rPr>
            </w:pPr>
          </w:p>
        </w:tc>
        <w:tc>
          <w:tcPr>
            <w:tcW w:w="940" w:type="dxa"/>
            <w:vAlign w:val="bottom"/>
          </w:tcPr>
          <w:p>
            <w:pPr>
              <w:spacing w:after="0"/>
              <w:rPr>
                <w:sz w:val="11"/>
                <w:szCs w:val="11"/>
                <w:color w:val="auto"/>
              </w:rPr>
            </w:pPr>
          </w:p>
        </w:tc>
        <w:tc>
          <w:tcPr>
            <w:tcW w:w="2100" w:type="dxa"/>
            <w:vAlign w:val="bottom"/>
            <w:tcBorders>
              <w:right w:val="single" w:sz="8" w:color="auto"/>
            </w:tcBorders>
          </w:tcPr>
          <w:p>
            <w:pPr>
              <w:spacing w:after="0"/>
              <w:rPr>
                <w:sz w:val="11"/>
                <w:szCs w:val="11"/>
                <w:color w:val="auto"/>
              </w:rPr>
            </w:pPr>
          </w:p>
        </w:tc>
        <w:tc>
          <w:tcPr>
            <w:tcW w:w="680" w:type="dxa"/>
            <w:vAlign w:val="bottom"/>
          </w:tcPr>
          <w:p>
            <w:pPr>
              <w:spacing w:after="0"/>
              <w:rPr>
                <w:sz w:val="11"/>
                <w:szCs w:val="11"/>
                <w:color w:val="auto"/>
              </w:rPr>
            </w:pPr>
          </w:p>
        </w:tc>
      </w:tr>
    </w:tbl>
    <w:p>
      <w:pPr>
        <w:sectPr>
          <w:pgSz w:w="11900" w:h="16838" w:orient="portrait"/>
          <w:cols w:equalWidth="0" w:num="1">
            <w:col w:w="10520"/>
          </w:cols>
          <w:pgMar w:left="680" w:top="803" w:right="706" w:bottom="1440" w:gutter="0" w:footer="0" w:header="0"/>
        </w:sectPr>
      </w:pPr>
    </w:p>
    <w:bookmarkStart w:id="12" w:name="page13"/>
    <w:bookmarkEnd w:id="12"/>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260" w:type="dxa"/>
            <w:vAlign w:val="bottom"/>
            <w:gridSpan w:val="2"/>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560" w:type="dxa"/>
            <w:vAlign w:val="bottom"/>
          </w:tcPr>
          <w:p>
            <w:pPr>
              <w:spacing w:after="0"/>
              <w:rPr>
                <w:sz w:val="19"/>
                <w:szCs w:val="19"/>
                <w:color w:val="auto"/>
              </w:rPr>
            </w:pPr>
          </w:p>
        </w:tc>
        <w:tc>
          <w:tcPr>
            <w:tcW w:w="3700" w:type="dxa"/>
            <w:vAlign w:val="bottom"/>
            <w:gridSpan w:val="2"/>
          </w:tcPr>
          <w:p>
            <w:pPr>
              <w:ind w:left="3400"/>
              <w:spacing w:after="0"/>
              <w:rPr>
                <w:sz w:val="20"/>
                <w:szCs w:val="20"/>
                <w:color w:val="auto"/>
              </w:rPr>
            </w:pPr>
            <w:r>
              <w:rPr>
                <w:rFonts w:ascii="Times New Roman" w:cs="Times New Roman" w:eastAsia="Times New Roman" w:hAnsi="Times New Roman"/>
                <w:sz w:val="20"/>
                <w:szCs w:val="20"/>
                <w:color w:val="auto"/>
                <w:w w:val="93"/>
              </w:rPr>
              <w:t>357</w:t>
            </w:r>
          </w:p>
        </w:tc>
      </w:tr>
      <w:tr>
        <w:trPr>
          <w:trHeight w:val="40"/>
        </w:trPr>
        <w:tc>
          <w:tcPr>
            <w:tcW w:w="1180" w:type="dxa"/>
            <w:vAlign w:val="bottom"/>
            <w:tcBorders>
              <w:bottom w:val="single" w:sz="8" w:color="auto"/>
            </w:tcBorders>
          </w:tcPr>
          <w:p>
            <w:pPr>
              <w:spacing w:after="0"/>
              <w:rPr>
                <w:sz w:val="3"/>
                <w:szCs w:val="3"/>
                <w:color w:val="auto"/>
              </w:rPr>
            </w:pPr>
          </w:p>
        </w:tc>
        <w:tc>
          <w:tcPr>
            <w:tcW w:w="108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r>
      <w:tr>
        <w:trPr>
          <w:trHeight w:val="307"/>
        </w:trPr>
        <w:tc>
          <w:tcPr>
            <w:tcW w:w="118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9" w:lineRule="exact"/>
              <w:rPr>
                <w:sz w:val="20"/>
                <w:szCs w:val="20"/>
                <w:color w:val="auto"/>
              </w:rPr>
            </w:pPr>
            <w:r>
              <w:rPr>
                <w:rFonts w:ascii="Arial" w:cs="Arial" w:eastAsia="Arial" w:hAnsi="Arial"/>
                <w:sz w:val="21"/>
                <w:szCs w:val="21"/>
                <w:b w:val="1"/>
                <w:bCs w:val="1"/>
                <w:color w:val="auto"/>
              </w:rPr>
              <w:t>III-04</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Baterias para veículos motorizados incluindo</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8507.1</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Baterias para empilhadeiras eléctricas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rPr>
              <w:t>III-05</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Bicicletas e outros ciclos não motorizados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8712, 8714</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(incluindo peças)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rPr>
              <w:t>III-06</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i w:val="1"/>
                <w:iCs w:val="1"/>
                <w:color w:val="auto"/>
              </w:rPr>
              <w:t>Scooters</w:t>
            </w:r>
            <w:r>
              <w:rPr>
                <w:rFonts w:ascii="Arial" w:cs="Arial" w:eastAsia="Arial" w:hAnsi="Arial"/>
                <w:sz w:val="21"/>
                <w:szCs w:val="21"/>
                <w:color w:val="auto"/>
              </w:rPr>
              <w:t>, motocicletas incluindo carros laterais,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8711</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motocicletas e veículos semelhantes (novos)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rPr>
              <w:t>III-07</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 xml:space="preserve">Peças sobressalentes para </w:t>
            </w:r>
            <w:r>
              <w:rPr>
                <w:rFonts w:ascii="Arial" w:cs="Arial" w:eastAsia="Arial" w:hAnsi="Arial"/>
                <w:sz w:val="21"/>
                <w:szCs w:val="21"/>
                <w:i w:val="1"/>
                <w:iCs w:val="1"/>
                <w:color w:val="auto"/>
              </w:rPr>
              <w:t>scooters</w:t>
            </w:r>
            <w:r>
              <w:rPr>
                <w:rFonts w:ascii="Arial" w:cs="Arial" w:eastAsia="Arial" w:hAnsi="Arial"/>
                <w:sz w:val="21"/>
                <w:szCs w:val="21"/>
                <w:color w:val="auto"/>
              </w:rPr>
              <w:t>,</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8714.1</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motocicletas, ciclomotores e veículos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semelhantes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rPr>
              <w:t>III-09</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Veículos eléctricos (incluindo peças)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8703, 8709.11, 8709.90</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rPr>
              <w:t>III-08</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Empilhadeiras incluindo suas peças,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8427, 8429, 8430, 8431, 8433,</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equipamentos de terraplenagem, tractores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8701</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produtos para uso agrícola incluindo 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autopropulsados</w:t>
            </w:r>
          </w:p>
        </w:tc>
        <w:tc>
          <w:tcPr>
            <w:tcW w:w="3020" w:type="dxa"/>
            <w:vAlign w:val="bottom"/>
            <w:tcBorders>
              <w:right w:val="single" w:sz="8" w:color="auto"/>
            </w:tcBorders>
          </w:tcPr>
          <w:p>
            <w:pPr>
              <w:spacing w:after="0"/>
              <w:rPr>
                <w:sz w:val="23"/>
                <w:szCs w:val="23"/>
                <w:color w:val="auto"/>
              </w:rPr>
            </w:pPr>
          </w:p>
        </w:tc>
        <w:tc>
          <w:tcPr>
            <w:tcW w:w="680" w:type="dxa"/>
            <w:vAlign w:val="bottom"/>
          </w:tcPr>
          <w:p>
            <w:pPr>
              <w:spacing w:after="0"/>
              <w:rPr>
                <w:sz w:val="23"/>
                <w:szCs w:val="23"/>
                <w:color w:val="auto"/>
              </w:rPr>
            </w:pPr>
          </w:p>
        </w:tc>
      </w:tr>
      <w:tr>
        <w:trPr>
          <w:trHeight w:val="458"/>
        </w:trPr>
        <w:tc>
          <w:tcPr>
            <w:tcW w:w="1180" w:type="dxa"/>
            <w:vAlign w:val="bottom"/>
            <w:tcBorders>
              <w:right w:val="single" w:sz="8" w:color="auto"/>
            </w:tcBorders>
          </w:tcPr>
          <w:p>
            <w:pPr>
              <w:spacing w:after="0"/>
              <w:rPr>
                <w:sz w:val="24"/>
                <w:szCs w:val="24"/>
                <w:color w:val="auto"/>
              </w:rPr>
            </w:pPr>
          </w:p>
        </w:tc>
        <w:tc>
          <w:tcPr>
            <w:tcW w:w="1080" w:type="dxa"/>
            <w:vAlign w:val="bottom"/>
            <w:tcBorders>
              <w:bottom w:val="single" w:sz="8" w:color="auto"/>
              <w:right w:val="single" w:sz="8" w:color="auto"/>
            </w:tcBorders>
          </w:tcPr>
          <w:p>
            <w:pPr>
              <w:spacing w:after="0"/>
              <w:rPr>
                <w:sz w:val="24"/>
                <w:szCs w:val="24"/>
                <w:color w:val="auto"/>
              </w:rPr>
            </w:pPr>
          </w:p>
        </w:tc>
        <w:tc>
          <w:tcPr>
            <w:tcW w:w="4560" w:type="dxa"/>
            <w:vAlign w:val="bottom"/>
            <w:tcBorders>
              <w:bottom w:val="single" w:sz="8" w:color="auto"/>
              <w:right w:val="single" w:sz="8" w:color="auto"/>
            </w:tcBorders>
          </w:tcPr>
          <w:p>
            <w:pPr>
              <w:spacing w:after="0"/>
              <w:rPr>
                <w:sz w:val="24"/>
                <w:szCs w:val="24"/>
                <w:color w:val="auto"/>
              </w:rPr>
            </w:pPr>
          </w:p>
        </w:tc>
        <w:tc>
          <w:tcPr>
            <w:tcW w:w="3020" w:type="dxa"/>
            <w:vAlign w:val="bottom"/>
            <w:tcBorders>
              <w:bottom w:val="single" w:sz="8" w:color="auto"/>
              <w:right w:val="single" w:sz="8" w:color="auto"/>
            </w:tcBorders>
          </w:tcPr>
          <w:p>
            <w:pPr>
              <w:spacing w:after="0"/>
              <w:rPr>
                <w:sz w:val="24"/>
                <w:szCs w:val="24"/>
                <w:color w:val="auto"/>
              </w:rPr>
            </w:pPr>
          </w:p>
        </w:tc>
        <w:tc>
          <w:tcPr>
            <w:tcW w:w="680" w:type="dxa"/>
            <w:vAlign w:val="bottom"/>
          </w:tcPr>
          <w:p>
            <w:pPr>
              <w:spacing w:after="0"/>
              <w:rPr>
                <w:sz w:val="24"/>
                <w:szCs w:val="24"/>
                <w:color w:val="auto"/>
              </w:rPr>
            </w:pPr>
          </w:p>
        </w:tc>
      </w:tr>
      <w:tr>
        <w:trPr>
          <w:trHeight w:val="275"/>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D9D9D9"/>
            </w:tcBorders>
            <w:shd w:val="clear" w:color="auto" w:fill="D9D9D9"/>
          </w:tcPr>
          <w:p>
            <w:pPr>
              <w:spacing w:after="0"/>
              <w:rPr>
                <w:sz w:val="23"/>
                <w:szCs w:val="23"/>
                <w:color w:val="auto"/>
              </w:rPr>
            </w:pPr>
          </w:p>
        </w:tc>
        <w:tc>
          <w:tcPr>
            <w:tcW w:w="7580" w:type="dxa"/>
            <w:vAlign w:val="bottom"/>
            <w:tcBorders>
              <w:right w:val="single" w:sz="8" w:color="auto"/>
            </w:tcBorders>
            <w:gridSpan w:val="2"/>
            <w:shd w:val="clear" w:color="auto" w:fill="D9D9D9"/>
          </w:tcPr>
          <w:p>
            <w:pPr>
              <w:jc w:val="center"/>
              <w:ind w:right="997"/>
              <w:spacing w:after="0"/>
              <w:rPr>
                <w:sz w:val="20"/>
                <w:szCs w:val="20"/>
                <w:color w:val="auto"/>
              </w:rPr>
            </w:pPr>
            <w:r>
              <w:rPr>
                <w:rFonts w:ascii="Arial" w:cs="Arial" w:eastAsia="Arial" w:hAnsi="Arial"/>
                <w:sz w:val="21"/>
                <w:szCs w:val="21"/>
                <w:b w:val="1"/>
                <w:bCs w:val="1"/>
                <w:color w:val="auto"/>
                <w:w w:val="98"/>
              </w:rPr>
              <w:t>Grupo IV – Cosméticos e produtos de higiene</w:t>
            </w:r>
          </w:p>
        </w:tc>
        <w:tc>
          <w:tcPr>
            <w:tcW w:w="680" w:type="dxa"/>
            <w:vAlign w:val="bottom"/>
          </w:tcPr>
          <w:p>
            <w:pPr>
              <w:spacing w:after="0"/>
              <w:rPr>
                <w:sz w:val="23"/>
                <w:szCs w:val="23"/>
                <w:color w:val="auto"/>
              </w:rPr>
            </w:pPr>
          </w:p>
        </w:tc>
      </w:tr>
      <w:tr>
        <w:trPr>
          <w:trHeight w:val="69"/>
        </w:trPr>
        <w:tc>
          <w:tcPr>
            <w:tcW w:w="1180" w:type="dxa"/>
            <w:vAlign w:val="bottom"/>
            <w:tcBorders>
              <w:right w:val="single" w:sz="8" w:color="auto"/>
            </w:tcBorders>
          </w:tcPr>
          <w:p>
            <w:pPr>
              <w:spacing w:after="0"/>
              <w:rPr>
                <w:sz w:val="6"/>
                <w:szCs w:val="6"/>
                <w:color w:val="auto"/>
              </w:rPr>
            </w:pPr>
          </w:p>
        </w:tc>
        <w:tc>
          <w:tcPr>
            <w:tcW w:w="1080" w:type="dxa"/>
            <w:vAlign w:val="bottom"/>
            <w:tcBorders>
              <w:bottom w:val="single" w:sz="8" w:color="auto"/>
              <w:right w:val="single" w:sz="8" w:color="D9D9D9"/>
            </w:tcBorders>
            <w:shd w:val="clear" w:color="auto" w:fill="D9D9D9"/>
          </w:tcPr>
          <w:p>
            <w:pPr>
              <w:spacing w:after="0"/>
              <w:rPr>
                <w:sz w:val="6"/>
                <w:szCs w:val="6"/>
                <w:color w:val="auto"/>
              </w:rPr>
            </w:pPr>
          </w:p>
        </w:tc>
        <w:tc>
          <w:tcPr>
            <w:tcW w:w="4560" w:type="dxa"/>
            <w:vAlign w:val="bottom"/>
            <w:tcBorders>
              <w:bottom w:val="single" w:sz="8" w:color="auto"/>
              <w:right w:val="single" w:sz="8" w:color="D9D9D9"/>
            </w:tcBorders>
            <w:shd w:val="clear" w:color="auto" w:fill="D9D9D9"/>
          </w:tcPr>
          <w:p>
            <w:pPr>
              <w:spacing w:after="0"/>
              <w:rPr>
                <w:sz w:val="6"/>
                <w:szCs w:val="6"/>
                <w:color w:val="auto"/>
              </w:rPr>
            </w:pPr>
          </w:p>
        </w:tc>
        <w:tc>
          <w:tcPr>
            <w:tcW w:w="3020" w:type="dxa"/>
            <w:vAlign w:val="bottom"/>
            <w:tcBorders>
              <w:bottom w:val="single" w:sz="8" w:color="auto"/>
              <w:right w:val="single" w:sz="8" w:color="auto"/>
            </w:tcBorders>
            <w:shd w:val="clear" w:color="auto" w:fill="D9D9D9"/>
          </w:tcPr>
          <w:p>
            <w:pPr>
              <w:spacing w:after="0"/>
              <w:rPr>
                <w:sz w:val="6"/>
                <w:szCs w:val="6"/>
                <w:color w:val="auto"/>
              </w:rPr>
            </w:pPr>
          </w:p>
        </w:tc>
        <w:tc>
          <w:tcPr>
            <w:tcW w:w="680" w:type="dxa"/>
            <w:vAlign w:val="bottom"/>
          </w:tcPr>
          <w:p>
            <w:pPr>
              <w:spacing w:after="0"/>
              <w:rPr>
                <w:sz w:val="6"/>
                <w:szCs w:val="6"/>
                <w:color w:val="auto"/>
              </w:rPr>
            </w:pPr>
          </w:p>
        </w:tc>
      </w:tr>
      <w:tr>
        <w:trPr>
          <w:trHeight w:val="228"/>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8"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8"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8"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IV-01</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Escovas de dentes, barbeadores descartáveis,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8212, 8213, 8214, 9603.21,</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lâminas de barbear, cotonetes e produtos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9603.29, 9603.30, 9605, 9615</w:t>
            </w: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relacionados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IV-02</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Fraldas para bebés, absorventes higiénicos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9619</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produtos semelhantes, toalhas Sanitárias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tampões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IV-03</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Perfumes, cosméticos, pasta de dentes,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3303, 3304, 3305, 3306, 3307</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champô e produtos semelhantes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(Excl. 3307.41 e 3307.49),</w:t>
            </w: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3401</w:t>
            </w: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IV-04</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Preservativos e produtos semelhantes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4014</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IV-05</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Papel de tecido facial, incluindo papel higiénico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4818.10, 4818.20</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todos os papéis de seda</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77"/>
        </w:trPr>
        <w:tc>
          <w:tcPr>
            <w:tcW w:w="1180" w:type="dxa"/>
            <w:vAlign w:val="bottom"/>
            <w:tcBorders>
              <w:right w:val="single" w:sz="8" w:color="auto"/>
            </w:tcBorders>
          </w:tcPr>
          <w:p>
            <w:pPr>
              <w:spacing w:after="0"/>
              <w:rPr>
                <w:sz w:val="24"/>
                <w:szCs w:val="24"/>
                <w:color w:val="auto"/>
              </w:rPr>
            </w:pPr>
          </w:p>
        </w:tc>
        <w:tc>
          <w:tcPr>
            <w:tcW w:w="1080" w:type="dxa"/>
            <w:vAlign w:val="bottom"/>
            <w:tcBorders>
              <w:right w:val="single" w:sz="8" w:color="D9D9D9"/>
            </w:tcBorders>
            <w:shd w:val="clear" w:color="auto" w:fill="D9D9D9"/>
          </w:tcPr>
          <w:p>
            <w:pPr>
              <w:spacing w:after="0"/>
              <w:rPr>
                <w:sz w:val="24"/>
                <w:szCs w:val="24"/>
                <w:color w:val="auto"/>
              </w:rPr>
            </w:pPr>
          </w:p>
        </w:tc>
        <w:tc>
          <w:tcPr>
            <w:tcW w:w="7580" w:type="dxa"/>
            <w:vAlign w:val="bottom"/>
            <w:tcBorders>
              <w:right w:val="single" w:sz="8" w:color="auto"/>
            </w:tcBorders>
            <w:gridSpan w:val="2"/>
            <w:shd w:val="clear" w:color="auto" w:fill="D9D9D9"/>
          </w:tcPr>
          <w:p>
            <w:pPr>
              <w:jc w:val="center"/>
              <w:ind w:right="1017"/>
              <w:spacing w:after="0"/>
              <w:rPr>
                <w:sz w:val="20"/>
                <w:szCs w:val="20"/>
                <w:color w:val="auto"/>
              </w:rPr>
            </w:pPr>
            <w:r>
              <w:rPr>
                <w:rFonts w:ascii="Arial" w:cs="Arial" w:eastAsia="Arial" w:hAnsi="Arial"/>
                <w:sz w:val="21"/>
                <w:szCs w:val="21"/>
                <w:b w:val="1"/>
                <w:bCs w:val="1"/>
                <w:color w:val="auto"/>
                <w:w w:val="98"/>
              </w:rPr>
              <w:t>Grupo V – Materiais de construção</w:t>
            </w:r>
          </w:p>
        </w:tc>
        <w:tc>
          <w:tcPr>
            <w:tcW w:w="680" w:type="dxa"/>
            <w:vAlign w:val="bottom"/>
          </w:tcPr>
          <w:p>
            <w:pPr>
              <w:spacing w:after="0"/>
              <w:rPr>
                <w:sz w:val="24"/>
                <w:szCs w:val="24"/>
                <w:color w:val="auto"/>
              </w:rPr>
            </w:pPr>
          </w:p>
        </w:tc>
      </w:tr>
      <w:tr>
        <w:trPr>
          <w:trHeight w:val="69"/>
        </w:trPr>
        <w:tc>
          <w:tcPr>
            <w:tcW w:w="1180" w:type="dxa"/>
            <w:vAlign w:val="bottom"/>
            <w:tcBorders>
              <w:right w:val="single" w:sz="8" w:color="auto"/>
            </w:tcBorders>
          </w:tcPr>
          <w:p>
            <w:pPr>
              <w:spacing w:after="0"/>
              <w:rPr>
                <w:sz w:val="6"/>
                <w:szCs w:val="6"/>
                <w:color w:val="auto"/>
              </w:rPr>
            </w:pPr>
          </w:p>
        </w:tc>
        <w:tc>
          <w:tcPr>
            <w:tcW w:w="1080" w:type="dxa"/>
            <w:vAlign w:val="bottom"/>
            <w:tcBorders>
              <w:bottom w:val="single" w:sz="8" w:color="auto"/>
              <w:right w:val="single" w:sz="8" w:color="D9D9D9"/>
            </w:tcBorders>
            <w:shd w:val="clear" w:color="auto" w:fill="D9D9D9"/>
          </w:tcPr>
          <w:p>
            <w:pPr>
              <w:spacing w:after="0"/>
              <w:rPr>
                <w:sz w:val="6"/>
                <w:szCs w:val="6"/>
                <w:color w:val="auto"/>
              </w:rPr>
            </w:pPr>
          </w:p>
        </w:tc>
        <w:tc>
          <w:tcPr>
            <w:tcW w:w="4560" w:type="dxa"/>
            <w:vAlign w:val="bottom"/>
            <w:tcBorders>
              <w:bottom w:val="single" w:sz="8" w:color="auto"/>
              <w:right w:val="single" w:sz="8" w:color="D9D9D9"/>
            </w:tcBorders>
            <w:shd w:val="clear" w:color="auto" w:fill="D9D9D9"/>
          </w:tcPr>
          <w:p>
            <w:pPr>
              <w:spacing w:after="0"/>
              <w:rPr>
                <w:sz w:val="6"/>
                <w:szCs w:val="6"/>
                <w:color w:val="auto"/>
              </w:rPr>
            </w:pPr>
          </w:p>
        </w:tc>
        <w:tc>
          <w:tcPr>
            <w:tcW w:w="3020" w:type="dxa"/>
            <w:vAlign w:val="bottom"/>
            <w:tcBorders>
              <w:bottom w:val="single" w:sz="8" w:color="auto"/>
              <w:right w:val="single" w:sz="8" w:color="auto"/>
            </w:tcBorders>
            <w:shd w:val="clear" w:color="auto" w:fill="D9D9D9"/>
          </w:tcPr>
          <w:p>
            <w:pPr>
              <w:spacing w:after="0"/>
              <w:rPr>
                <w:sz w:val="6"/>
                <w:szCs w:val="6"/>
                <w:color w:val="auto"/>
              </w:rPr>
            </w:pPr>
          </w:p>
        </w:tc>
        <w:tc>
          <w:tcPr>
            <w:tcW w:w="680" w:type="dxa"/>
            <w:vAlign w:val="bottom"/>
          </w:tcPr>
          <w:p>
            <w:pPr>
              <w:spacing w:after="0"/>
              <w:rPr>
                <w:sz w:val="6"/>
                <w:szCs w:val="6"/>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4560" w:type="dxa"/>
            <w:vAlign w:val="bottom"/>
            <w:tcBorders>
              <w:bottom w:val="single" w:sz="8" w:color="auto"/>
            </w:tcBorders>
          </w:tcPr>
          <w:p>
            <w:pPr>
              <w:jc w:val="center"/>
              <w:ind w:left="1797"/>
              <w:spacing w:after="0" w:line="226" w:lineRule="exact"/>
              <w:rPr>
                <w:sz w:val="20"/>
                <w:szCs w:val="20"/>
                <w:color w:val="auto"/>
              </w:rPr>
            </w:pPr>
            <w:r>
              <w:rPr>
                <w:rFonts w:ascii="Arial" w:cs="Arial" w:eastAsia="Arial" w:hAnsi="Arial"/>
                <w:sz w:val="21"/>
                <w:szCs w:val="21"/>
                <w:b w:val="1"/>
                <w:bCs w:val="1"/>
                <w:color w:val="auto"/>
                <w:w w:val="98"/>
              </w:rPr>
              <w:t>Artigos de ferro e aço</w:t>
            </w:r>
          </w:p>
        </w:tc>
        <w:tc>
          <w:tcPr>
            <w:tcW w:w="3020" w:type="dxa"/>
            <w:vAlign w:val="bottom"/>
            <w:tcBorders>
              <w:bottom w:val="single" w:sz="8" w:color="auto"/>
              <w:right w:val="single" w:sz="8" w:color="auto"/>
            </w:tcBorders>
          </w:tcPr>
          <w:p>
            <w:pPr>
              <w:spacing w:after="0"/>
              <w:rPr>
                <w:sz w:val="19"/>
                <w:szCs w:val="19"/>
                <w:color w:val="auto"/>
              </w:rPr>
            </w:pP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V-01</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Produtos de ferro e aço (incluindo chapas,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7208,7209,7210,7216,7217,</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cantoneiras e tubos)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7222,7223,7226,7227,7228,</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7301, 7302, 7303, 7304, 7305,</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7306, 7307, 7308, 7309, 7310,</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7312, 7313, 7314, 7325,7326,</w:t>
            </w: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8307</w:t>
            </w:r>
          </w:p>
        </w:tc>
        <w:tc>
          <w:tcPr>
            <w:tcW w:w="680" w:type="dxa"/>
            <w:vAlign w:val="bottom"/>
          </w:tcPr>
          <w:p>
            <w:pPr>
              <w:spacing w:after="0"/>
              <w:rPr>
                <w:sz w:val="22"/>
                <w:szCs w:val="22"/>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w w:val="99"/>
              </w:rPr>
              <w:t>V-02</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Barras de aço de reforço</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7213,7214,7215,7221,7222,</w:t>
            </w:r>
          </w:p>
        </w:tc>
        <w:tc>
          <w:tcPr>
            <w:tcW w:w="680" w:type="dxa"/>
            <w:vAlign w:val="bottom"/>
          </w:tcPr>
          <w:p>
            <w:pPr>
              <w:spacing w:after="0"/>
              <w:rPr>
                <w:sz w:val="18"/>
                <w:szCs w:val="18"/>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spacing w:after="0"/>
              <w:rPr>
                <w:sz w:val="23"/>
                <w:szCs w:val="23"/>
                <w:color w:val="auto"/>
              </w:rPr>
            </w:pPr>
          </w:p>
        </w:tc>
        <w:tc>
          <w:tcPr>
            <w:tcW w:w="302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7227,7228,7314,</w:t>
            </w:r>
          </w:p>
        </w:tc>
        <w:tc>
          <w:tcPr>
            <w:tcW w:w="680" w:type="dxa"/>
            <w:vAlign w:val="bottom"/>
          </w:tcPr>
          <w:p>
            <w:pPr>
              <w:spacing w:after="0"/>
              <w:rPr>
                <w:sz w:val="23"/>
                <w:szCs w:val="23"/>
                <w:color w:val="auto"/>
              </w:rPr>
            </w:pPr>
          </w:p>
        </w:tc>
      </w:tr>
      <w:tr>
        <w:trPr>
          <w:trHeight w:val="373"/>
        </w:trPr>
        <w:tc>
          <w:tcPr>
            <w:tcW w:w="1180" w:type="dxa"/>
            <w:vAlign w:val="bottom"/>
            <w:tcBorders>
              <w:right w:val="single" w:sz="8" w:color="auto"/>
            </w:tcBorders>
          </w:tcPr>
          <w:p>
            <w:pPr>
              <w:spacing w:after="0"/>
              <w:rPr>
                <w:sz w:val="24"/>
                <w:szCs w:val="24"/>
                <w:color w:val="auto"/>
              </w:rPr>
            </w:pPr>
          </w:p>
        </w:tc>
        <w:tc>
          <w:tcPr>
            <w:tcW w:w="1080" w:type="dxa"/>
            <w:vAlign w:val="bottom"/>
            <w:tcBorders>
              <w:right w:val="single" w:sz="8" w:color="auto"/>
            </w:tcBorders>
          </w:tcPr>
          <w:p>
            <w:pPr>
              <w:spacing w:after="0"/>
              <w:rPr>
                <w:sz w:val="24"/>
                <w:szCs w:val="24"/>
                <w:color w:val="auto"/>
              </w:rPr>
            </w:pPr>
          </w:p>
        </w:tc>
        <w:tc>
          <w:tcPr>
            <w:tcW w:w="4560" w:type="dxa"/>
            <w:vAlign w:val="bottom"/>
            <w:tcBorders>
              <w:right w:val="single" w:sz="8" w:color="auto"/>
            </w:tcBorders>
          </w:tcPr>
          <w:p>
            <w:pPr>
              <w:spacing w:after="0"/>
              <w:rPr>
                <w:sz w:val="24"/>
                <w:szCs w:val="24"/>
                <w:color w:val="auto"/>
              </w:rPr>
            </w:pPr>
          </w:p>
        </w:tc>
        <w:tc>
          <w:tcPr>
            <w:tcW w:w="3020" w:type="dxa"/>
            <w:vAlign w:val="bottom"/>
            <w:tcBorders>
              <w:right w:val="single" w:sz="8" w:color="auto"/>
            </w:tcBorders>
          </w:tcPr>
          <w:p>
            <w:pPr>
              <w:spacing w:after="0"/>
              <w:rPr>
                <w:sz w:val="24"/>
                <w:szCs w:val="24"/>
                <w:color w:val="auto"/>
              </w:rPr>
            </w:pPr>
          </w:p>
        </w:tc>
        <w:tc>
          <w:tcPr>
            <w:tcW w:w="680" w:type="dxa"/>
            <w:vAlign w:val="bottom"/>
          </w:tcPr>
          <w:p>
            <w:pPr>
              <w:spacing w:after="0"/>
              <w:rPr>
                <w:sz w:val="24"/>
                <w:szCs w:val="24"/>
                <w:color w:val="auto"/>
              </w:rPr>
            </w:pPr>
          </w:p>
        </w:tc>
      </w:tr>
    </w:tbl>
    <w:p>
      <w:pPr>
        <w:sectPr>
          <w:pgSz w:w="11900" w:h="16838" w:orient="portrait"/>
          <w:cols w:equalWidth="0" w:num="1">
            <w:col w:w="10520"/>
          </w:cols>
          <w:pgMar w:left="680" w:top="803" w:right="706" w:bottom="1440" w:gutter="0" w:footer="0" w:header="0"/>
        </w:sectPr>
      </w:pPr>
    </w:p>
    <w:bookmarkStart w:id="13" w:name="page14"/>
    <w:bookmarkEnd w:id="1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41"/>
        </w:trPr>
        <w:tc>
          <w:tcPr>
            <w:tcW w:w="1180" w:type="dxa"/>
            <w:vAlign w:val="bottom"/>
          </w:tcPr>
          <w:p>
            <w:pPr>
              <w:jc w:val="right"/>
              <w:ind w:right="780"/>
              <w:spacing w:after="0"/>
              <w:rPr>
                <w:sz w:val="20"/>
                <w:szCs w:val="20"/>
                <w:color w:val="auto"/>
              </w:rPr>
            </w:pPr>
            <w:r>
              <w:rPr>
                <w:rFonts w:ascii="Times New Roman" w:cs="Times New Roman" w:eastAsia="Times New Roman" w:hAnsi="Times New Roman"/>
                <w:sz w:val="20"/>
                <w:szCs w:val="20"/>
                <w:color w:val="auto"/>
                <w:w w:val="93"/>
              </w:rPr>
              <w:t>358</w:t>
            </w:r>
          </w:p>
        </w:tc>
        <w:tc>
          <w:tcPr>
            <w:tcW w:w="108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3700" w:type="dxa"/>
            <w:vAlign w:val="bottom"/>
            <w:gridSpan w:val="2"/>
          </w:tcPr>
          <w:p>
            <w:pPr>
              <w:ind w:left="1640"/>
              <w:spacing w:after="0"/>
              <w:rPr>
                <w:sz w:val="20"/>
                <w:szCs w:val="20"/>
                <w:color w:val="auto"/>
              </w:rPr>
            </w:pPr>
            <w:r>
              <w:rPr>
                <w:rFonts w:ascii="Times New Roman" w:cs="Times New Roman" w:eastAsia="Times New Roman" w:hAnsi="Times New Roman"/>
                <w:sz w:val="20"/>
                <w:szCs w:val="20"/>
                <w:i w:val="1"/>
                <w:iCs w:val="1"/>
                <w:color w:val="auto"/>
              </w:rPr>
              <w:t>I SÉRIE — NÚMERO 50</w:t>
            </w:r>
          </w:p>
        </w:tc>
        <w:tc>
          <w:tcPr>
            <w:tcW w:w="0" w:type="dxa"/>
            <w:vAlign w:val="bottom"/>
          </w:tcPr>
          <w:p>
            <w:pPr>
              <w:spacing w:after="0"/>
              <w:rPr>
                <w:sz w:val="1"/>
                <w:szCs w:val="1"/>
                <w:color w:val="auto"/>
              </w:rPr>
            </w:pPr>
          </w:p>
        </w:tc>
      </w:tr>
      <w:tr>
        <w:trPr>
          <w:trHeight w:val="40"/>
        </w:trPr>
        <w:tc>
          <w:tcPr>
            <w:tcW w:w="1180" w:type="dxa"/>
            <w:vAlign w:val="bottom"/>
            <w:tcBorders>
              <w:bottom w:val="single" w:sz="8" w:color="auto"/>
            </w:tcBorders>
          </w:tcPr>
          <w:p>
            <w:pPr>
              <w:spacing w:after="0"/>
              <w:rPr>
                <w:sz w:val="3"/>
                <w:szCs w:val="3"/>
                <w:color w:val="auto"/>
              </w:rPr>
            </w:pPr>
          </w:p>
        </w:tc>
        <w:tc>
          <w:tcPr>
            <w:tcW w:w="108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96"/>
        </w:trPr>
        <w:tc>
          <w:tcPr>
            <w:tcW w:w="118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1180" w:type="dxa"/>
            <w:vAlign w:val="bottom"/>
            <w:tcBorders>
              <w:right w:val="single" w:sz="8" w:color="auto"/>
            </w:tcBorders>
          </w:tcPr>
          <w:p>
            <w:pPr>
              <w:spacing w:after="0"/>
              <w:rPr>
                <w:sz w:val="23"/>
                <w:szCs w:val="23"/>
                <w:color w:val="auto"/>
              </w:rPr>
            </w:pPr>
          </w:p>
        </w:tc>
        <w:tc>
          <w:tcPr>
            <w:tcW w:w="1080" w:type="dxa"/>
            <w:vAlign w:val="bottom"/>
          </w:tcPr>
          <w:p>
            <w:pPr>
              <w:spacing w:after="0"/>
              <w:rPr>
                <w:sz w:val="23"/>
                <w:szCs w:val="23"/>
                <w:color w:val="auto"/>
              </w:rPr>
            </w:pPr>
          </w:p>
        </w:tc>
        <w:tc>
          <w:tcPr>
            <w:tcW w:w="4560" w:type="dxa"/>
            <w:vAlign w:val="bottom"/>
          </w:tcPr>
          <w:p>
            <w:pPr>
              <w:jc w:val="center"/>
              <w:ind w:left="1817"/>
              <w:spacing w:after="0"/>
              <w:rPr>
                <w:sz w:val="20"/>
                <w:szCs w:val="20"/>
                <w:color w:val="auto"/>
              </w:rPr>
            </w:pPr>
            <w:r>
              <w:rPr>
                <w:rFonts w:ascii="Arial" w:cs="Arial" w:eastAsia="Arial" w:hAnsi="Arial"/>
                <w:sz w:val="21"/>
                <w:szCs w:val="21"/>
                <w:b w:val="1"/>
                <w:bCs w:val="1"/>
                <w:color w:val="auto"/>
                <w:w w:val="97"/>
              </w:rPr>
              <w:t>Artigos de alumínio</w:t>
            </w:r>
          </w:p>
        </w:tc>
        <w:tc>
          <w:tcPr>
            <w:tcW w:w="3020" w:type="dxa"/>
            <w:vAlign w:val="bottom"/>
            <w:tcBorders>
              <w:right w:val="single" w:sz="8" w:color="auto"/>
            </w:tcBorders>
          </w:tcPr>
          <w:p>
            <w:pPr>
              <w:spacing w:after="0"/>
              <w:rPr>
                <w:sz w:val="23"/>
                <w:szCs w:val="23"/>
                <w:color w:val="auto"/>
              </w:rPr>
            </w:pP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72"/>
        </w:trPr>
        <w:tc>
          <w:tcPr>
            <w:tcW w:w="1180" w:type="dxa"/>
            <w:vAlign w:val="bottom"/>
            <w:tcBorders>
              <w:right w:val="single" w:sz="8" w:color="auto"/>
            </w:tcBorders>
          </w:tcPr>
          <w:p>
            <w:pPr>
              <w:spacing w:after="0"/>
              <w:rPr>
                <w:sz w:val="6"/>
                <w:szCs w:val="6"/>
                <w:color w:val="auto"/>
              </w:rPr>
            </w:pPr>
          </w:p>
        </w:tc>
        <w:tc>
          <w:tcPr>
            <w:tcW w:w="1080" w:type="dxa"/>
            <w:vAlign w:val="bottom"/>
            <w:tcBorders>
              <w:bottom w:val="single" w:sz="8" w:color="auto"/>
            </w:tcBorders>
          </w:tcPr>
          <w:p>
            <w:pPr>
              <w:spacing w:after="0"/>
              <w:rPr>
                <w:sz w:val="6"/>
                <w:szCs w:val="6"/>
                <w:color w:val="auto"/>
              </w:rPr>
            </w:pPr>
          </w:p>
        </w:tc>
        <w:tc>
          <w:tcPr>
            <w:tcW w:w="4560" w:type="dxa"/>
            <w:vAlign w:val="bottom"/>
            <w:tcBorders>
              <w:bottom w:val="single" w:sz="8" w:color="auto"/>
            </w:tcBorders>
          </w:tcPr>
          <w:p>
            <w:pPr>
              <w:spacing w:after="0"/>
              <w:rPr>
                <w:sz w:val="6"/>
                <w:szCs w:val="6"/>
                <w:color w:val="auto"/>
              </w:rPr>
            </w:pPr>
          </w:p>
        </w:tc>
        <w:tc>
          <w:tcPr>
            <w:tcW w:w="3020" w:type="dxa"/>
            <w:vAlign w:val="bottom"/>
            <w:tcBorders>
              <w:bottom w:val="single" w:sz="8" w:color="auto"/>
              <w:right w:val="single" w:sz="8" w:color="auto"/>
            </w:tcBorders>
          </w:tcPr>
          <w:p>
            <w:pPr>
              <w:spacing w:after="0"/>
              <w:rPr>
                <w:sz w:val="6"/>
                <w:szCs w:val="6"/>
                <w:color w:val="auto"/>
              </w:rPr>
            </w:pPr>
          </w:p>
        </w:tc>
        <w:tc>
          <w:tcPr>
            <w:tcW w:w="680" w:type="dxa"/>
            <w:vAlign w:val="bottom"/>
            <w:vMerge w:val="restart"/>
          </w:tcPr>
          <w:p>
            <w:pPr>
              <w:spacing w:after="0"/>
              <w:rPr>
                <w:sz w:val="6"/>
                <w:szCs w:val="6"/>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V-06</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Produtos de alumínio (incluindo folhas,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7604,7605,7606,7608,7609,</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cantoneiras, tubos, barras)</w:t>
            </w: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7614, 7616, 8307</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V-07</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Estruturas e peças de alumínio (incluindo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7610,7611,7612, 7616</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tanques, cubas, reservatórios), incluindo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calhas, bolas de moagem venezianas, etc,</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excluindo recipientes para gases comprimidos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ou liquefeitos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4560" w:type="dxa"/>
            <w:vAlign w:val="bottom"/>
            <w:tcBorders>
              <w:bottom w:val="single" w:sz="8" w:color="auto"/>
            </w:tcBorders>
          </w:tcPr>
          <w:p>
            <w:pPr>
              <w:jc w:val="center"/>
              <w:ind w:left="1797"/>
              <w:spacing w:after="0" w:line="226" w:lineRule="exact"/>
              <w:rPr>
                <w:sz w:val="20"/>
                <w:szCs w:val="20"/>
                <w:color w:val="auto"/>
              </w:rPr>
            </w:pPr>
            <w:r>
              <w:rPr>
                <w:rFonts w:ascii="Arial" w:cs="Arial" w:eastAsia="Arial" w:hAnsi="Arial"/>
                <w:sz w:val="21"/>
                <w:szCs w:val="21"/>
                <w:b w:val="1"/>
                <w:bCs w:val="1"/>
                <w:color w:val="auto"/>
                <w:w w:val="98"/>
              </w:rPr>
              <w:t>Artigos de plástico</w:t>
            </w:r>
          </w:p>
        </w:tc>
        <w:tc>
          <w:tcPr>
            <w:tcW w:w="3020" w:type="dxa"/>
            <w:vAlign w:val="bottom"/>
            <w:tcBorders>
              <w:bottom w:val="single" w:sz="8" w:color="auto"/>
              <w:right w:val="single" w:sz="8" w:color="auto"/>
            </w:tcBorders>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w w:val="99"/>
              </w:rPr>
              <w:t>V-09</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Produtos de plástico (incluindo tubos,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3917, 3920, 3921</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mangueiras, acessórios)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9" w:lineRule="exact"/>
              <w:rPr>
                <w:sz w:val="20"/>
                <w:szCs w:val="20"/>
                <w:color w:val="auto"/>
              </w:rPr>
            </w:pPr>
            <w:r>
              <w:rPr>
                <w:rFonts w:ascii="Arial" w:cs="Arial" w:eastAsia="Arial" w:hAnsi="Arial"/>
                <w:sz w:val="21"/>
                <w:szCs w:val="21"/>
                <w:b w:val="1"/>
                <w:bCs w:val="1"/>
                <w:color w:val="auto"/>
                <w:w w:val="99"/>
              </w:rPr>
              <w:t>V-10</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Estruturas e peças plásticas incluindo tanques,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3925, 3918, 3926</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cubas, reservatórios, revestimentos de piso 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canal de drenagem de plástico em forma de U</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4560" w:type="dxa"/>
            <w:vAlign w:val="bottom"/>
            <w:tcBorders>
              <w:bottom w:val="single" w:sz="8" w:color="auto"/>
            </w:tcBorders>
          </w:tcPr>
          <w:p>
            <w:pPr>
              <w:jc w:val="center"/>
              <w:ind w:left="1817"/>
              <w:spacing w:after="0" w:line="226" w:lineRule="exact"/>
              <w:rPr>
                <w:sz w:val="20"/>
                <w:szCs w:val="20"/>
                <w:color w:val="auto"/>
              </w:rPr>
            </w:pPr>
            <w:r>
              <w:rPr>
                <w:rFonts w:ascii="Arial" w:cs="Arial" w:eastAsia="Arial" w:hAnsi="Arial"/>
                <w:sz w:val="21"/>
                <w:szCs w:val="21"/>
                <w:b w:val="1"/>
                <w:bCs w:val="1"/>
                <w:color w:val="auto"/>
                <w:w w:val="98"/>
              </w:rPr>
              <w:t>Artigos de cobre</w:t>
            </w:r>
          </w:p>
        </w:tc>
        <w:tc>
          <w:tcPr>
            <w:tcW w:w="3020" w:type="dxa"/>
            <w:vAlign w:val="bottom"/>
            <w:tcBorders>
              <w:bottom w:val="single" w:sz="8" w:color="auto"/>
              <w:right w:val="single" w:sz="8" w:color="auto"/>
            </w:tcBorders>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V-12</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Produtos de cobre (folhas, ângulos, tubos,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7407, 7408, 7409, 7411, 7412,</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barras), Incluindo tubos ou acessórios para</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7413, 7419, 8307, 7419</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tubos, fios, metais expandidos, excluindo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 recipiente para gases comprimidos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ou liquefeitos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4560" w:type="dxa"/>
            <w:vAlign w:val="bottom"/>
            <w:tcBorders>
              <w:bottom w:val="single" w:sz="8" w:color="auto"/>
            </w:tcBorders>
          </w:tcPr>
          <w:p>
            <w:pPr>
              <w:jc w:val="center"/>
              <w:ind w:left="1817"/>
              <w:spacing w:after="0" w:line="226" w:lineRule="exact"/>
              <w:rPr>
                <w:sz w:val="20"/>
                <w:szCs w:val="20"/>
                <w:color w:val="auto"/>
              </w:rPr>
            </w:pPr>
            <w:r>
              <w:rPr>
                <w:rFonts w:ascii="Arial" w:cs="Arial" w:eastAsia="Arial" w:hAnsi="Arial"/>
                <w:sz w:val="21"/>
                <w:szCs w:val="21"/>
                <w:b w:val="1"/>
                <w:bCs w:val="1"/>
                <w:color w:val="auto"/>
                <w:w w:val="97"/>
              </w:rPr>
              <w:t>Artigos de zinco</w:t>
            </w:r>
          </w:p>
        </w:tc>
        <w:tc>
          <w:tcPr>
            <w:tcW w:w="3020" w:type="dxa"/>
            <w:vAlign w:val="bottom"/>
            <w:tcBorders>
              <w:bottom w:val="single" w:sz="8" w:color="auto"/>
              <w:right w:val="single" w:sz="8" w:color="auto"/>
            </w:tcBorders>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1"/>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w w:val="99"/>
              </w:rPr>
              <w:t>V-14</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Produtos de zinco (incluindo folhas, tiras,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7904, 7905, 7907, 8307</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barras, perfis, tubos), incluindo tubos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acessórios para tubos, fios e metais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expandidos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7580" w:type="dxa"/>
            <w:vAlign w:val="bottom"/>
            <w:tcBorders>
              <w:bottom w:val="single" w:sz="8" w:color="auto"/>
              <w:right w:val="single" w:sz="8" w:color="auto"/>
            </w:tcBorders>
            <w:gridSpan w:val="2"/>
          </w:tcPr>
          <w:p>
            <w:pPr>
              <w:jc w:val="center"/>
              <w:ind w:right="1017"/>
              <w:spacing w:after="0" w:line="226" w:lineRule="exact"/>
              <w:rPr>
                <w:sz w:val="20"/>
                <w:szCs w:val="20"/>
                <w:color w:val="auto"/>
              </w:rPr>
            </w:pPr>
            <w:r>
              <w:rPr>
                <w:rFonts w:ascii="Arial" w:cs="Arial" w:eastAsia="Arial" w:hAnsi="Arial"/>
                <w:sz w:val="21"/>
                <w:szCs w:val="21"/>
                <w:b w:val="1"/>
                <w:bCs w:val="1"/>
                <w:color w:val="auto"/>
                <w:w w:val="98"/>
              </w:rPr>
              <w:t>Artigos de cerâmica, cimento e produtos relacionados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V-17</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Tijolos, blocos, telhas e produtos semelhantes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6901, 6902, 6903, 6904, 6905,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cerâmica refractário e não refractário</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6907, 6908</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incluindo tijolos de construção, lajes e pavê.</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V-18</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Tubos de cerâmica, eletrodutos ou Conduítes,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6906, 6914</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calhas e acessórios para tubos e produtos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semelhantes não refractário incluindo 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descritos nos códigos HS 6906, 6914</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(Incluindo acessórios para portas, janelas, etc)</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V-19</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Lajes não cerâmicas, pavimentos e produtos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6801,6802,6803,6810,</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semelhantes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V-20</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Cimento, areia, seixos e produtos semelhantes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2523, 2505,2517</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os descritos nos códigos HS: 2523</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que Inclui clínquer de cimento, cimento branco,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5"/>
        </w:trPr>
        <w:tc>
          <w:tcPr>
            <w:tcW w:w="1180" w:type="dxa"/>
            <w:vAlign w:val="bottom"/>
            <w:tcBorders>
              <w:right w:val="single" w:sz="8" w:color="auto"/>
            </w:tcBorders>
          </w:tcPr>
          <w:p>
            <w:pPr>
              <w:spacing w:after="0"/>
              <w:rPr>
                <w:sz w:val="21"/>
                <w:szCs w:val="21"/>
                <w:color w:val="auto"/>
              </w:rPr>
            </w:pPr>
          </w:p>
        </w:tc>
        <w:tc>
          <w:tcPr>
            <w:tcW w:w="1080" w:type="dxa"/>
            <w:vAlign w:val="bottom"/>
            <w:tcBorders>
              <w:right w:val="single" w:sz="8" w:color="auto"/>
            </w:tcBorders>
          </w:tcPr>
          <w:p>
            <w:pPr>
              <w:spacing w:after="0"/>
              <w:rPr>
                <w:sz w:val="21"/>
                <w:szCs w:val="21"/>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cimento aluminoso, cimento hidráulico, cimento</w:t>
            </w:r>
          </w:p>
        </w:tc>
        <w:tc>
          <w:tcPr>
            <w:tcW w:w="3020" w:type="dxa"/>
            <w:vAlign w:val="bottom"/>
            <w:tcBorders>
              <w:right w:val="single" w:sz="8" w:color="auto"/>
            </w:tcBorders>
          </w:tcPr>
          <w:p>
            <w:pPr>
              <w:spacing w:after="0"/>
              <w:rPr>
                <w:sz w:val="21"/>
                <w:szCs w:val="21"/>
                <w:color w:val="auto"/>
              </w:rPr>
            </w:pPr>
          </w:p>
        </w:tc>
        <w:tc>
          <w:tcPr>
            <w:tcW w:w="680" w:type="dxa"/>
            <w:vAlign w:val="bottom"/>
          </w:tcPr>
          <w:p>
            <w:pPr>
              <w:spacing w:after="0"/>
              <w:rPr>
                <w:sz w:val="21"/>
                <w:szCs w:val="2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-431165</wp:posOffset>
            </wp:positionH>
            <wp:positionV relativeFrom="paragraph">
              <wp:posOffset>2829560</wp:posOffset>
            </wp:positionV>
            <wp:extent cx="4763" cy="4763"/>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extLst>
                    </a:blip>
                    <a:srcRect/>
                    <a:stretch>
                      <a:fillRect/>
                    </a:stretch>
                  </pic:blipFill>
                  <pic:spPr bwMode="auto">
                    <a:xfrm>
                      <a:off x="0" y="0"/>
                      <a:ext cx="4763" cy="4763"/>
                    </a:xfrm>
                    <a:prstGeom prst="rect">
                      <a:avLst/>
                    </a:prstGeom>
                    <a:noFill/>
                  </pic:spPr>
                </pic:pic>
              </a:graphicData>
            </a:graphic>
          </wp:anchor>
        </w:drawing>
      </w:r>
    </w:p>
    <w:p>
      <w:pPr>
        <w:sectPr>
          <w:pgSz w:w="11900" w:h="16838" w:orient="portrait"/>
          <w:cols w:equalWidth="0" w:num="1">
            <w:col w:w="10520"/>
          </w:cols>
          <w:pgMar w:left="680" w:top="803" w:right="706" w:bottom="1440" w:gutter="0" w:footer="0" w:header="0"/>
        </w:sectPr>
      </w:pPr>
    </w:p>
    <w:bookmarkStart w:id="14" w:name="page15"/>
    <w:bookmarkEnd w:id="14"/>
    <w:tbl>
      <w:tblPr>
        <w:tblLayout w:type="fixed"/>
        <w:tblInd w:w="0" w:type="dxa"/>
        <w:tblCellMar>
          <w:top w:w="0" w:type="dxa"/>
          <w:left w:w="0" w:type="dxa"/>
          <w:bottom w:w="0" w:type="dxa"/>
          <w:right w:w="0" w:type="dxa"/>
        </w:tblCellMar>
      </w:tblPr>
      <w:tr>
        <w:trPr>
          <w:trHeight w:val="230"/>
        </w:trPr>
        <w:tc>
          <w:tcPr>
            <w:tcW w:w="2260" w:type="dxa"/>
            <w:vAlign w:val="bottom"/>
            <w:gridSpan w:val="2"/>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5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3660" w:type="dxa"/>
            <w:vAlign w:val="bottom"/>
            <w:gridSpan w:val="2"/>
          </w:tcPr>
          <w:p>
            <w:pPr>
              <w:ind w:left="3360"/>
              <w:spacing w:after="0"/>
              <w:rPr>
                <w:sz w:val="20"/>
                <w:szCs w:val="20"/>
                <w:color w:val="auto"/>
              </w:rPr>
            </w:pPr>
            <w:r>
              <w:rPr>
                <w:rFonts w:ascii="Times New Roman" w:cs="Times New Roman" w:eastAsia="Times New Roman" w:hAnsi="Times New Roman"/>
                <w:sz w:val="20"/>
                <w:szCs w:val="20"/>
                <w:color w:val="auto"/>
                <w:w w:val="93"/>
              </w:rPr>
              <w:t>359</w:t>
            </w:r>
          </w:p>
        </w:tc>
      </w:tr>
      <w:tr>
        <w:trPr>
          <w:trHeight w:val="40"/>
        </w:trPr>
        <w:tc>
          <w:tcPr>
            <w:tcW w:w="1180" w:type="dxa"/>
            <w:vAlign w:val="bottom"/>
            <w:tcBorders>
              <w:bottom w:val="single" w:sz="8" w:color="auto"/>
            </w:tcBorders>
          </w:tcPr>
          <w:p>
            <w:pPr>
              <w:spacing w:after="0"/>
              <w:rPr>
                <w:sz w:val="3"/>
                <w:szCs w:val="3"/>
                <w:color w:val="auto"/>
              </w:rPr>
            </w:pPr>
          </w:p>
        </w:tc>
        <w:tc>
          <w:tcPr>
            <w:tcW w:w="108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40" w:type="dxa"/>
            <w:vAlign w:val="bottom"/>
            <w:tcBorders>
              <w:bottom w:val="single" w:sz="8" w:color="auto"/>
            </w:tcBorders>
          </w:tcPr>
          <w:p>
            <w:pPr>
              <w:spacing w:after="0"/>
              <w:rPr>
                <w:sz w:val="3"/>
                <w:szCs w:val="3"/>
                <w:color w:val="auto"/>
              </w:rPr>
            </w:pPr>
          </w:p>
        </w:tc>
        <w:tc>
          <w:tcPr>
            <w:tcW w:w="298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r>
      <w:tr>
        <w:trPr>
          <w:trHeight w:val="287"/>
        </w:trPr>
        <w:tc>
          <w:tcPr>
            <w:tcW w:w="118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98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Portland, cimento de escória, etc.</w:t>
            </w:r>
          </w:p>
        </w:tc>
        <w:tc>
          <w:tcPr>
            <w:tcW w:w="40" w:type="dxa"/>
            <w:vAlign w:val="bottom"/>
          </w:tcPr>
          <w:p>
            <w:pPr>
              <w:spacing w:after="0"/>
              <w:rPr>
                <w:sz w:val="18"/>
                <w:szCs w:val="18"/>
                <w:color w:val="auto"/>
              </w:rPr>
            </w:pPr>
          </w:p>
        </w:tc>
        <w:tc>
          <w:tcPr>
            <w:tcW w:w="2980" w:type="dxa"/>
            <w:vAlign w:val="bottom"/>
            <w:tcBorders>
              <w:right w:val="single" w:sz="8" w:color="auto"/>
            </w:tcBorders>
          </w:tcPr>
          <w:p>
            <w:pPr>
              <w:spacing w:after="0"/>
              <w:rPr>
                <w:sz w:val="18"/>
                <w:szCs w:val="18"/>
                <w:color w:val="auto"/>
              </w:rPr>
            </w:pP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HS 2505: areias naturais de todos os tipos,</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coloridas ou não, areia de sílica e areia</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quartzo usadas na construção.</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HS 2517: seixos, cascalhos</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HS 2515 e HS 2516: grânulos, lascas e pó</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de pedras</w:t>
            </w:r>
          </w:p>
        </w:tc>
        <w:tc>
          <w:tcPr>
            <w:tcW w:w="40" w:type="dxa"/>
            <w:vAlign w:val="bottom"/>
            <w:tcBorders>
              <w:bottom w:val="single" w:sz="8" w:color="auto"/>
            </w:tcBorders>
          </w:tcPr>
          <w:p>
            <w:pPr>
              <w:spacing w:after="0"/>
              <w:rPr>
                <w:sz w:val="22"/>
                <w:szCs w:val="22"/>
                <w:color w:val="auto"/>
              </w:rPr>
            </w:pPr>
          </w:p>
        </w:tc>
        <w:tc>
          <w:tcPr>
            <w:tcW w:w="298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4600" w:type="dxa"/>
            <w:vAlign w:val="bottom"/>
            <w:tcBorders>
              <w:bottom w:val="single" w:sz="8" w:color="auto"/>
            </w:tcBorders>
            <w:gridSpan w:val="2"/>
          </w:tcPr>
          <w:p>
            <w:pPr>
              <w:ind w:left="1900"/>
              <w:spacing w:after="0" w:line="226" w:lineRule="exact"/>
              <w:rPr>
                <w:sz w:val="20"/>
                <w:szCs w:val="20"/>
                <w:color w:val="auto"/>
              </w:rPr>
            </w:pPr>
            <w:r>
              <w:rPr>
                <w:rFonts w:ascii="Arial" w:cs="Arial" w:eastAsia="Arial" w:hAnsi="Arial"/>
                <w:sz w:val="21"/>
                <w:szCs w:val="21"/>
                <w:b w:val="1"/>
                <w:bCs w:val="1"/>
                <w:color w:val="auto"/>
                <w:w w:val="99"/>
              </w:rPr>
              <w:t>Artigos de vários materiais</w:t>
            </w:r>
          </w:p>
        </w:tc>
        <w:tc>
          <w:tcPr>
            <w:tcW w:w="2980" w:type="dxa"/>
            <w:vAlign w:val="bottom"/>
            <w:tcBorders>
              <w:bottom w:val="single" w:sz="8" w:color="auto"/>
              <w:right w:val="single" w:sz="8" w:color="auto"/>
            </w:tcBorders>
          </w:tcPr>
          <w:p>
            <w:pPr>
              <w:spacing w:after="0"/>
              <w:rPr>
                <w:sz w:val="19"/>
                <w:szCs w:val="19"/>
                <w:color w:val="auto"/>
              </w:rPr>
            </w:pPr>
          </w:p>
        </w:tc>
        <w:tc>
          <w:tcPr>
            <w:tcW w:w="680" w:type="dxa"/>
            <w:vAlign w:val="bottom"/>
          </w:tcPr>
          <w:p>
            <w:pPr>
              <w:spacing w:after="0"/>
              <w:rPr>
                <w:sz w:val="19"/>
                <w:szCs w:val="19"/>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40" w:type="dxa"/>
            <w:vAlign w:val="bottom"/>
            <w:tcBorders>
              <w:bottom w:val="single" w:sz="8" w:color="auto"/>
            </w:tcBorders>
          </w:tcPr>
          <w:p>
            <w:pPr>
              <w:spacing w:after="0"/>
              <w:rPr>
                <w:sz w:val="19"/>
                <w:szCs w:val="19"/>
                <w:color w:val="auto"/>
              </w:rPr>
            </w:pPr>
          </w:p>
        </w:tc>
        <w:tc>
          <w:tcPr>
            <w:tcW w:w="2980" w:type="dxa"/>
            <w:vAlign w:val="bottom"/>
            <w:tcBorders>
              <w:bottom w:val="single" w:sz="8" w:color="auto"/>
              <w:right w:val="single" w:sz="8" w:color="auto"/>
            </w:tcBorders>
          </w:tcPr>
          <w:p>
            <w:pPr>
              <w:ind w:left="94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w w:val="99"/>
              </w:rPr>
              <w:t>V-21</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Fixadores (incluindo pregos, grampos,</w:t>
            </w:r>
          </w:p>
        </w:tc>
        <w:tc>
          <w:tcPr>
            <w:tcW w:w="40" w:type="dxa"/>
            <w:vAlign w:val="bottom"/>
          </w:tcPr>
          <w:p>
            <w:pPr>
              <w:spacing w:after="0"/>
              <w:rPr>
                <w:sz w:val="18"/>
                <w:szCs w:val="18"/>
                <w:color w:val="auto"/>
              </w:rPr>
            </w:pPr>
          </w:p>
        </w:tc>
        <w:tc>
          <w:tcPr>
            <w:tcW w:w="2980" w:type="dxa"/>
            <w:vAlign w:val="bottom"/>
            <w:tcBorders>
              <w:right w:val="single" w:sz="8" w:color="auto"/>
            </w:tcBorders>
          </w:tcPr>
          <w:p>
            <w:pPr>
              <w:ind w:left="40"/>
              <w:spacing w:after="0" w:line="211" w:lineRule="exact"/>
              <w:rPr>
                <w:sz w:val="20"/>
                <w:szCs w:val="20"/>
                <w:color w:val="auto"/>
              </w:rPr>
            </w:pPr>
            <w:r>
              <w:rPr>
                <w:rFonts w:ascii="Arial" w:cs="Arial" w:eastAsia="Arial" w:hAnsi="Arial"/>
                <w:sz w:val="21"/>
                <w:szCs w:val="21"/>
                <w:color w:val="auto"/>
              </w:rPr>
              <w:t>7317, 7318,7415,7508,7616,</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parafusos, porcas, arruelas e produtos</w:t>
            </w:r>
          </w:p>
        </w:tc>
        <w:tc>
          <w:tcPr>
            <w:tcW w:w="40" w:type="dxa"/>
            <w:vAlign w:val="bottom"/>
          </w:tcPr>
          <w:p>
            <w:pPr>
              <w:spacing w:after="0"/>
              <w:rPr>
                <w:sz w:val="20"/>
                <w:szCs w:val="20"/>
                <w:color w:val="auto"/>
              </w:rPr>
            </w:pPr>
          </w:p>
        </w:tc>
        <w:tc>
          <w:tcPr>
            <w:tcW w:w="298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7907</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similares), incluindo os descritos no código HS</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7415 (para pregos - artigos básicos e</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semelhantes feitos de ferro ou aço, mas com</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cabeças de cobre)</w:t>
            </w:r>
          </w:p>
        </w:tc>
        <w:tc>
          <w:tcPr>
            <w:tcW w:w="40" w:type="dxa"/>
            <w:vAlign w:val="bottom"/>
          </w:tcPr>
          <w:p>
            <w:pPr>
              <w:spacing w:after="0"/>
              <w:rPr>
                <w:sz w:val="23"/>
                <w:szCs w:val="23"/>
                <w:color w:val="auto"/>
              </w:rPr>
            </w:pPr>
          </w:p>
        </w:tc>
        <w:tc>
          <w:tcPr>
            <w:tcW w:w="2980" w:type="dxa"/>
            <w:vAlign w:val="bottom"/>
            <w:tcBorders>
              <w:right w:val="single" w:sz="8" w:color="auto"/>
            </w:tcBorders>
          </w:tcPr>
          <w:p>
            <w:pPr>
              <w:spacing w:after="0"/>
              <w:rPr>
                <w:sz w:val="23"/>
                <w:szCs w:val="23"/>
                <w:color w:val="auto"/>
              </w:rPr>
            </w:pPr>
          </w:p>
        </w:tc>
        <w:tc>
          <w:tcPr>
            <w:tcW w:w="680" w:type="dxa"/>
            <w:vAlign w:val="bottom"/>
          </w:tcPr>
          <w:p>
            <w:pPr>
              <w:spacing w:after="0"/>
              <w:rPr>
                <w:sz w:val="23"/>
                <w:szCs w:val="23"/>
                <w:color w:val="auto"/>
              </w:rPr>
            </w:pPr>
          </w:p>
        </w:tc>
      </w:tr>
      <w:tr>
        <w:trPr>
          <w:trHeight w:val="219"/>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spacing w:after="0"/>
              <w:rPr>
                <w:sz w:val="19"/>
                <w:szCs w:val="19"/>
                <w:color w:val="auto"/>
              </w:rPr>
            </w:pPr>
          </w:p>
        </w:tc>
        <w:tc>
          <w:tcPr>
            <w:tcW w:w="4560" w:type="dxa"/>
            <w:vAlign w:val="bottom"/>
            <w:tcBorders>
              <w:bottom w:val="single" w:sz="8" w:color="auto"/>
              <w:right w:val="single" w:sz="8" w:color="auto"/>
            </w:tcBorders>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2980" w:type="dxa"/>
            <w:vAlign w:val="bottom"/>
            <w:tcBorders>
              <w:bottom w:val="single" w:sz="8" w:color="auto"/>
              <w:right w:val="single" w:sz="8" w:color="auto"/>
            </w:tcBorders>
          </w:tcPr>
          <w:p>
            <w:pPr>
              <w:spacing w:after="0"/>
              <w:rPr>
                <w:sz w:val="19"/>
                <w:szCs w:val="19"/>
                <w:color w:val="auto"/>
              </w:rPr>
            </w:pP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V-22</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Louças e peças sanitárias, incluindo de</w:t>
            </w:r>
          </w:p>
        </w:tc>
        <w:tc>
          <w:tcPr>
            <w:tcW w:w="40" w:type="dxa"/>
            <w:vAlign w:val="bottom"/>
          </w:tcPr>
          <w:p>
            <w:pPr>
              <w:spacing w:after="0"/>
              <w:rPr>
                <w:sz w:val="18"/>
                <w:szCs w:val="18"/>
                <w:color w:val="auto"/>
              </w:rPr>
            </w:pPr>
          </w:p>
        </w:tc>
        <w:tc>
          <w:tcPr>
            <w:tcW w:w="2980" w:type="dxa"/>
            <w:vAlign w:val="bottom"/>
            <w:tcBorders>
              <w:right w:val="single" w:sz="8" w:color="auto"/>
            </w:tcBorders>
          </w:tcPr>
          <w:p>
            <w:pPr>
              <w:ind w:left="40"/>
              <w:spacing w:after="0" w:line="208" w:lineRule="exact"/>
              <w:rPr>
                <w:sz w:val="20"/>
                <w:szCs w:val="20"/>
                <w:color w:val="auto"/>
              </w:rPr>
            </w:pPr>
            <w:r>
              <w:rPr>
                <w:rFonts w:ascii="Arial" w:cs="Arial" w:eastAsia="Arial" w:hAnsi="Arial"/>
                <w:sz w:val="21"/>
                <w:szCs w:val="21"/>
                <w:color w:val="auto"/>
              </w:rPr>
              <w:t>3922, 4017, 6803, 6910,</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plástico, borracha, ardósia, cerâmica, ferro</w:t>
            </w:r>
          </w:p>
        </w:tc>
        <w:tc>
          <w:tcPr>
            <w:tcW w:w="40" w:type="dxa"/>
            <w:vAlign w:val="bottom"/>
          </w:tcPr>
          <w:p>
            <w:pPr>
              <w:spacing w:after="0"/>
              <w:rPr>
                <w:sz w:val="20"/>
                <w:szCs w:val="20"/>
                <w:color w:val="auto"/>
              </w:rPr>
            </w:pPr>
          </w:p>
        </w:tc>
        <w:tc>
          <w:tcPr>
            <w:tcW w:w="298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7324,7315, 7418, 7508, 7615,</w:t>
            </w: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ou aço, cobre, níquel, alumínio e zinco.</w:t>
            </w:r>
          </w:p>
        </w:tc>
        <w:tc>
          <w:tcPr>
            <w:tcW w:w="40" w:type="dxa"/>
            <w:vAlign w:val="bottom"/>
            <w:tcBorders>
              <w:bottom w:val="single" w:sz="8" w:color="auto"/>
            </w:tcBorders>
          </w:tcPr>
          <w:p>
            <w:pPr>
              <w:spacing w:after="0"/>
              <w:rPr>
                <w:sz w:val="22"/>
                <w:szCs w:val="22"/>
                <w:color w:val="auto"/>
              </w:rPr>
            </w:pPr>
          </w:p>
        </w:tc>
        <w:tc>
          <w:tcPr>
            <w:tcW w:w="298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21"/>
                <w:szCs w:val="21"/>
                <w:color w:val="auto"/>
              </w:rPr>
              <w:t>7907</w:t>
            </w: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V-23</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Torneiras, válvulas e produtos semelhantes</w:t>
            </w:r>
          </w:p>
        </w:tc>
        <w:tc>
          <w:tcPr>
            <w:tcW w:w="40" w:type="dxa"/>
            <w:vAlign w:val="bottom"/>
          </w:tcPr>
          <w:p>
            <w:pPr>
              <w:spacing w:after="0"/>
              <w:rPr>
                <w:sz w:val="18"/>
                <w:szCs w:val="18"/>
                <w:color w:val="auto"/>
              </w:rPr>
            </w:pPr>
          </w:p>
        </w:tc>
        <w:tc>
          <w:tcPr>
            <w:tcW w:w="2980" w:type="dxa"/>
            <w:vAlign w:val="bottom"/>
            <w:tcBorders>
              <w:right w:val="single" w:sz="8" w:color="auto"/>
            </w:tcBorders>
          </w:tcPr>
          <w:p>
            <w:pPr>
              <w:ind w:left="40"/>
              <w:spacing w:after="0" w:line="208" w:lineRule="exact"/>
              <w:rPr>
                <w:sz w:val="20"/>
                <w:szCs w:val="20"/>
                <w:color w:val="auto"/>
              </w:rPr>
            </w:pPr>
            <w:r>
              <w:rPr>
                <w:rFonts w:ascii="Arial" w:cs="Arial" w:eastAsia="Arial" w:hAnsi="Arial"/>
                <w:sz w:val="21"/>
                <w:szCs w:val="21"/>
                <w:color w:val="auto"/>
              </w:rPr>
              <w:t>8481</w:t>
            </w:r>
          </w:p>
        </w:tc>
        <w:tc>
          <w:tcPr>
            <w:tcW w:w="680" w:type="dxa"/>
            <w:vAlign w:val="bottom"/>
          </w:tcPr>
          <w:p>
            <w:pPr>
              <w:spacing w:after="0"/>
              <w:rPr>
                <w:sz w:val="18"/>
                <w:szCs w:val="18"/>
                <w:color w:val="auto"/>
              </w:rPr>
            </w:pPr>
          </w:p>
        </w:tc>
      </w:tr>
      <w:tr>
        <w:trPr>
          <w:trHeight w:val="236"/>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6" w:lineRule="exact"/>
              <w:rPr>
                <w:sz w:val="20"/>
                <w:szCs w:val="20"/>
                <w:color w:val="auto"/>
              </w:rPr>
            </w:pPr>
            <w:r>
              <w:rPr>
                <w:rFonts w:ascii="Arial" w:cs="Arial" w:eastAsia="Arial" w:hAnsi="Arial"/>
                <w:sz w:val="21"/>
                <w:szCs w:val="21"/>
                <w:color w:val="auto"/>
              </w:rPr>
              <w:t>para tubos, tanques, cubas ou semelhantes</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40"/>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40" w:lineRule="exact"/>
              <w:rPr>
                <w:sz w:val="20"/>
                <w:szCs w:val="20"/>
                <w:color w:val="auto"/>
              </w:rPr>
            </w:pPr>
            <w:r>
              <w:rPr>
                <w:rFonts w:ascii="Arial" w:cs="Arial" w:eastAsia="Arial" w:hAnsi="Arial"/>
                <w:sz w:val="21"/>
                <w:szCs w:val="21"/>
                <w:color w:val="auto"/>
              </w:rPr>
              <w:t xml:space="preserve">(em geral, esses </w:t>
            </w:r>
            <w:r>
              <w:rPr>
                <w:rFonts w:ascii="Arial" w:cs="Arial" w:eastAsia="Arial" w:hAnsi="Arial"/>
                <w:sz w:val="21"/>
                <w:szCs w:val="21"/>
                <w:i w:val="1"/>
                <w:iCs w:val="1"/>
                <w:color w:val="auto"/>
              </w:rPr>
              <w:t>itens</w:t>
            </w:r>
            <w:r>
              <w:rPr>
                <w:rFonts w:ascii="Arial" w:cs="Arial" w:eastAsia="Arial" w:hAnsi="Arial"/>
                <w:sz w:val="21"/>
                <w:szCs w:val="21"/>
                <w:color w:val="auto"/>
              </w:rPr>
              <w:t xml:space="preserve"> são de metal ou plástico</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outros materiais, excepto borracha</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vulcanizada não endurecida, cerâmica</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ou vidro).</w:t>
            </w:r>
          </w:p>
        </w:tc>
        <w:tc>
          <w:tcPr>
            <w:tcW w:w="40" w:type="dxa"/>
            <w:vAlign w:val="bottom"/>
            <w:tcBorders>
              <w:bottom w:val="single" w:sz="8" w:color="auto"/>
            </w:tcBorders>
          </w:tcPr>
          <w:p>
            <w:pPr>
              <w:spacing w:after="0"/>
              <w:rPr>
                <w:sz w:val="22"/>
                <w:szCs w:val="22"/>
                <w:color w:val="auto"/>
              </w:rPr>
            </w:pPr>
          </w:p>
        </w:tc>
        <w:tc>
          <w:tcPr>
            <w:tcW w:w="298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V-24</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Telhas</w:t>
            </w:r>
          </w:p>
        </w:tc>
        <w:tc>
          <w:tcPr>
            <w:tcW w:w="40" w:type="dxa"/>
            <w:vAlign w:val="bottom"/>
          </w:tcPr>
          <w:p>
            <w:pPr>
              <w:spacing w:after="0"/>
              <w:rPr>
                <w:sz w:val="18"/>
                <w:szCs w:val="18"/>
                <w:color w:val="auto"/>
              </w:rPr>
            </w:pPr>
          </w:p>
        </w:tc>
        <w:tc>
          <w:tcPr>
            <w:tcW w:w="2980" w:type="dxa"/>
            <w:vAlign w:val="bottom"/>
            <w:tcBorders>
              <w:right w:val="single" w:sz="8" w:color="auto"/>
            </w:tcBorders>
          </w:tcPr>
          <w:p>
            <w:pPr>
              <w:ind w:left="40"/>
              <w:spacing w:after="0" w:line="208" w:lineRule="exact"/>
              <w:rPr>
                <w:sz w:val="20"/>
                <w:szCs w:val="20"/>
                <w:color w:val="auto"/>
              </w:rPr>
            </w:pPr>
            <w:r>
              <w:rPr>
                <w:rFonts w:ascii="Arial" w:cs="Arial" w:eastAsia="Arial" w:hAnsi="Arial"/>
                <w:sz w:val="21"/>
                <w:szCs w:val="21"/>
                <w:color w:val="auto"/>
              </w:rPr>
              <w:t>3925, 6802, 6803, 6810, 6905,</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3925 - Material plástico</w:t>
            </w:r>
          </w:p>
        </w:tc>
        <w:tc>
          <w:tcPr>
            <w:tcW w:w="40" w:type="dxa"/>
            <w:vAlign w:val="bottom"/>
          </w:tcPr>
          <w:p>
            <w:pPr>
              <w:spacing w:after="0"/>
              <w:rPr>
                <w:sz w:val="20"/>
                <w:szCs w:val="20"/>
                <w:color w:val="auto"/>
              </w:rPr>
            </w:pPr>
          </w:p>
        </w:tc>
        <w:tc>
          <w:tcPr>
            <w:tcW w:w="298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7308, 7610</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6802 - Grânulos de pedra natural coloridos</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artificialmente</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6803 - Ardósia trabalhada</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6810 - Artigos de cimento, concreto ou pedra</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artificial</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6905 - Material cerâmico</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7308 - De material de ferro ou aço</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 7610 - Material de alumínio</w:t>
            </w:r>
          </w:p>
        </w:tc>
        <w:tc>
          <w:tcPr>
            <w:tcW w:w="40" w:type="dxa"/>
            <w:vAlign w:val="bottom"/>
            <w:tcBorders>
              <w:bottom w:val="single" w:sz="8" w:color="auto"/>
            </w:tcBorders>
          </w:tcPr>
          <w:p>
            <w:pPr>
              <w:spacing w:after="0"/>
              <w:rPr>
                <w:sz w:val="22"/>
                <w:szCs w:val="22"/>
                <w:color w:val="auto"/>
              </w:rPr>
            </w:pPr>
          </w:p>
        </w:tc>
        <w:tc>
          <w:tcPr>
            <w:tcW w:w="298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9"/>
              </w:rPr>
              <w:t>V-26</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Cadeados, fechaduras e chaves, fabricados</w:t>
            </w:r>
          </w:p>
        </w:tc>
        <w:tc>
          <w:tcPr>
            <w:tcW w:w="40" w:type="dxa"/>
            <w:vAlign w:val="bottom"/>
          </w:tcPr>
          <w:p>
            <w:pPr>
              <w:spacing w:after="0"/>
              <w:rPr>
                <w:sz w:val="18"/>
                <w:szCs w:val="18"/>
                <w:color w:val="auto"/>
              </w:rPr>
            </w:pPr>
          </w:p>
        </w:tc>
        <w:tc>
          <w:tcPr>
            <w:tcW w:w="2980" w:type="dxa"/>
            <w:vAlign w:val="bottom"/>
            <w:tcBorders>
              <w:right w:val="single" w:sz="8" w:color="auto"/>
            </w:tcBorders>
          </w:tcPr>
          <w:p>
            <w:pPr>
              <w:ind w:left="40"/>
              <w:spacing w:after="0" w:line="208" w:lineRule="exact"/>
              <w:rPr>
                <w:sz w:val="20"/>
                <w:szCs w:val="20"/>
                <w:color w:val="auto"/>
              </w:rPr>
            </w:pPr>
            <w:r>
              <w:rPr>
                <w:rFonts w:ascii="Arial" w:cs="Arial" w:eastAsia="Arial" w:hAnsi="Arial"/>
                <w:sz w:val="21"/>
                <w:szCs w:val="21"/>
                <w:color w:val="auto"/>
              </w:rPr>
              <w:t>8301</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em metal comum. Incluindo fechaduras para</w:t>
            </w:r>
          </w:p>
        </w:tc>
        <w:tc>
          <w:tcPr>
            <w:tcW w:w="40" w:type="dxa"/>
            <w:vAlign w:val="bottom"/>
          </w:tcPr>
          <w:p>
            <w:pPr>
              <w:spacing w:after="0"/>
              <w:rPr>
                <w:sz w:val="20"/>
                <w:szCs w:val="20"/>
                <w:color w:val="auto"/>
              </w:rPr>
            </w:pPr>
          </w:p>
        </w:tc>
        <w:tc>
          <w:tcPr>
            <w:tcW w:w="298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veículos motorizados, móveis, etc.</w:t>
            </w:r>
          </w:p>
        </w:tc>
        <w:tc>
          <w:tcPr>
            <w:tcW w:w="40" w:type="dxa"/>
            <w:vAlign w:val="bottom"/>
            <w:tcBorders>
              <w:bottom w:val="single" w:sz="8" w:color="auto"/>
            </w:tcBorders>
          </w:tcPr>
          <w:p>
            <w:pPr>
              <w:spacing w:after="0"/>
              <w:rPr>
                <w:sz w:val="22"/>
                <w:szCs w:val="22"/>
                <w:color w:val="auto"/>
              </w:rPr>
            </w:pPr>
          </w:p>
        </w:tc>
        <w:tc>
          <w:tcPr>
            <w:tcW w:w="298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9" w:lineRule="exact"/>
              <w:rPr>
                <w:sz w:val="20"/>
                <w:szCs w:val="20"/>
                <w:color w:val="auto"/>
              </w:rPr>
            </w:pPr>
            <w:r>
              <w:rPr>
                <w:rFonts w:ascii="Arial" w:cs="Arial" w:eastAsia="Arial" w:hAnsi="Arial"/>
                <w:sz w:val="21"/>
                <w:szCs w:val="21"/>
                <w:b w:val="1"/>
                <w:bCs w:val="1"/>
                <w:color w:val="auto"/>
                <w:w w:val="99"/>
              </w:rPr>
              <w:t>V-27</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Produtos de madeira (incluindo travessas</w:t>
            </w:r>
          </w:p>
        </w:tc>
        <w:tc>
          <w:tcPr>
            <w:tcW w:w="40" w:type="dxa"/>
            <w:vAlign w:val="bottom"/>
          </w:tcPr>
          <w:p>
            <w:pPr>
              <w:spacing w:after="0"/>
              <w:rPr>
                <w:sz w:val="18"/>
                <w:szCs w:val="18"/>
                <w:color w:val="auto"/>
              </w:rPr>
            </w:pPr>
          </w:p>
        </w:tc>
        <w:tc>
          <w:tcPr>
            <w:tcW w:w="2980" w:type="dxa"/>
            <w:vAlign w:val="bottom"/>
            <w:tcBorders>
              <w:right w:val="single" w:sz="8" w:color="auto"/>
            </w:tcBorders>
          </w:tcPr>
          <w:p>
            <w:pPr>
              <w:ind w:left="40"/>
              <w:spacing w:after="0" w:line="209" w:lineRule="exact"/>
              <w:rPr>
                <w:sz w:val="20"/>
                <w:szCs w:val="20"/>
                <w:color w:val="auto"/>
              </w:rPr>
            </w:pPr>
            <w:r>
              <w:rPr>
                <w:rFonts w:ascii="Arial" w:cs="Arial" w:eastAsia="Arial" w:hAnsi="Arial"/>
                <w:sz w:val="21"/>
                <w:szCs w:val="21"/>
                <w:color w:val="auto"/>
              </w:rPr>
              <w:t>4406,4407,4408,4409,4410,</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ferroviárias ou de bonde)</w:t>
            </w:r>
          </w:p>
        </w:tc>
        <w:tc>
          <w:tcPr>
            <w:tcW w:w="40" w:type="dxa"/>
            <w:vAlign w:val="bottom"/>
          </w:tcPr>
          <w:p>
            <w:pPr>
              <w:spacing w:after="0"/>
              <w:rPr>
                <w:sz w:val="20"/>
                <w:szCs w:val="20"/>
                <w:color w:val="auto"/>
              </w:rPr>
            </w:pPr>
          </w:p>
        </w:tc>
        <w:tc>
          <w:tcPr>
            <w:tcW w:w="298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4411,4412,4413,4416,4418,</w:t>
            </w: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298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21"/>
                <w:szCs w:val="21"/>
                <w:color w:val="auto"/>
              </w:rPr>
              <w:t>4421</w:t>
            </w:r>
          </w:p>
        </w:tc>
        <w:tc>
          <w:tcPr>
            <w:tcW w:w="680" w:type="dxa"/>
            <w:vAlign w:val="bottom"/>
          </w:tcPr>
          <w:p>
            <w:pPr>
              <w:spacing w:after="0"/>
              <w:rPr>
                <w:sz w:val="22"/>
                <w:szCs w:val="22"/>
                <w:color w:val="auto"/>
              </w:rPr>
            </w:pPr>
          </w:p>
        </w:tc>
      </w:tr>
      <w:tr>
        <w:trPr>
          <w:trHeight w:val="275"/>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D9D9D9"/>
            </w:tcBorders>
            <w:shd w:val="clear" w:color="auto" w:fill="D9D9D9"/>
          </w:tcPr>
          <w:p>
            <w:pPr>
              <w:spacing w:after="0"/>
              <w:rPr>
                <w:sz w:val="23"/>
                <w:szCs w:val="23"/>
                <w:color w:val="auto"/>
              </w:rPr>
            </w:pPr>
          </w:p>
        </w:tc>
        <w:tc>
          <w:tcPr>
            <w:tcW w:w="4560" w:type="dxa"/>
            <w:vAlign w:val="bottom"/>
            <w:tcBorders>
              <w:right w:val="single" w:sz="8" w:color="D9D9D9"/>
            </w:tcBorders>
            <w:shd w:val="clear" w:color="auto" w:fill="D9D9D9"/>
          </w:tcPr>
          <w:p>
            <w:pPr>
              <w:ind w:left="420"/>
              <w:spacing w:after="0"/>
              <w:rPr>
                <w:sz w:val="20"/>
                <w:szCs w:val="20"/>
                <w:color w:val="auto"/>
              </w:rPr>
            </w:pPr>
            <w:r>
              <w:rPr>
                <w:rFonts w:ascii="Arial" w:cs="Arial" w:eastAsia="Arial" w:hAnsi="Arial"/>
                <w:sz w:val="21"/>
                <w:szCs w:val="21"/>
                <w:b w:val="1"/>
                <w:bCs w:val="1"/>
                <w:color w:val="auto"/>
                <w:w w:val="95"/>
              </w:rPr>
              <w:t>Grupo VI – Sistemas mecânicos, aparelhos</w:t>
            </w:r>
          </w:p>
        </w:tc>
        <w:tc>
          <w:tcPr>
            <w:tcW w:w="3020" w:type="dxa"/>
            <w:vAlign w:val="bottom"/>
            <w:tcBorders>
              <w:right w:val="single" w:sz="8" w:color="auto"/>
            </w:tcBorders>
            <w:gridSpan w:val="2"/>
            <w:shd w:val="clear" w:color="auto" w:fill="D9D9D9"/>
          </w:tcPr>
          <w:p>
            <w:pPr>
              <w:ind w:left="140"/>
              <w:spacing w:after="0"/>
              <w:rPr>
                <w:sz w:val="20"/>
                <w:szCs w:val="20"/>
                <w:color w:val="auto"/>
              </w:rPr>
            </w:pPr>
            <w:r>
              <w:rPr>
                <w:rFonts w:ascii="Arial" w:cs="Arial" w:eastAsia="Arial" w:hAnsi="Arial"/>
                <w:sz w:val="21"/>
                <w:szCs w:val="21"/>
                <w:b w:val="1"/>
                <w:bCs w:val="1"/>
                <w:color w:val="auto"/>
              </w:rPr>
              <w:t>e ferramentas</w:t>
            </w:r>
          </w:p>
        </w:tc>
        <w:tc>
          <w:tcPr>
            <w:tcW w:w="680" w:type="dxa"/>
            <w:vAlign w:val="bottom"/>
          </w:tcPr>
          <w:p>
            <w:pPr>
              <w:spacing w:after="0"/>
              <w:rPr>
                <w:sz w:val="23"/>
                <w:szCs w:val="23"/>
                <w:color w:val="auto"/>
              </w:rPr>
            </w:pPr>
          </w:p>
        </w:tc>
      </w:tr>
      <w:tr>
        <w:trPr>
          <w:trHeight w:val="71"/>
        </w:trPr>
        <w:tc>
          <w:tcPr>
            <w:tcW w:w="1180" w:type="dxa"/>
            <w:vAlign w:val="bottom"/>
            <w:tcBorders>
              <w:right w:val="single" w:sz="8" w:color="auto"/>
            </w:tcBorders>
          </w:tcPr>
          <w:p>
            <w:pPr>
              <w:spacing w:after="0"/>
              <w:rPr>
                <w:sz w:val="6"/>
                <w:szCs w:val="6"/>
                <w:color w:val="auto"/>
              </w:rPr>
            </w:pPr>
          </w:p>
        </w:tc>
        <w:tc>
          <w:tcPr>
            <w:tcW w:w="1080" w:type="dxa"/>
            <w:vAlign w:val="bottom"/>
            <w:tcBorders>
              <w:bottom w:val="single" w:sz="8" w:color="auto"/>
              <w:right w:val="single" w:sz="8" w:color="D9D9D9"/>
            </w:tcBorders>
            <w:shd w:val="clear" w:color="auto" w:fill="D9D9D9"/>
          </w:tcPr>
          <w:p>
            <w:pPr>
              <w:spacing w:after="0"/>
              <w:rPr>
                <w:sz w:val="6"/>
                <w:szCs w:val="6"/>
                <w:color w:val="auto"/>
              </w:rPr>
            </w:pPr>
          </w:p>
        </w:tc>
        <w:tc>
          <w:tcPr>
            <w:tcW w:w="4600" w:type="dxa"/>
            <w:vAlign w:val="bottom"/>
            <w:tcBorders>
              <w:bottom w:val="single" w:sz="8" w:color="auto"/>
            </w:tcBorders>
            <w:gridSpan w:val="2"/>
            <w:shd w:val="clear" w:color="auto" w:fill="D9D9D9"/>
          </w:tcPr>
          <w:p>
            <w:pPr>
              <w:spacing w:after="0"/>
              <w:rPr>
                <w:sz w:val="6"/>
                <w:szCs w:val="6"/>
                <w:color w:val="auto"/>
              </w:rPr>
            </w:pPr>
          </w:p>
        </w:tc>
        <w:tc>
          <w:tcPr>
            <w:tcW w:w="2980" w:type="dxa"/>
            <w:vAlign w:val="bottom"/>
            <w:tcBorders>
              <w:bottom w:val="single" w:sz="8" w:color="auto"/>
              <w:right w:val="single" w:sz="8" w:color="auto"/>
            </w:tcBorders>
            <w:shd w:val="clear" w:color="auto" w:fill="D9D9D9"/>
          </w:tcPr>
          <w:p>
            <w:pPr>
              <w:spacing w:after="0"/>
              <w:rPr>
                <w:sz w:val="6"/>
                <w:szCs w:val="6"/>
                <w:color w:val="auto"/>
              </w:rPr>
            </w:pPr>
          </w:p>
        </w:tc>
        <w:tc>
          <w:tcPr>
            <w:tcW w:w="680" w:type="dxa"/>
            <w:vAlign w:val="bottom"/>
          </w:tcPr>
          <w:p>
            <w:pPr>
              <w:spacing w:after="0"/>
              <w:rPr>
                <w:sz w:val="6"/>
                <w:szCs w:val="6"/>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40" w:type="dxa"/>
            <w:vAlign w:val="bottom"/>
            <w:tcBorders>
              <w:bottom w:val="single" w:sz="8" w:color="auto"/>
            </w:tcBorders>
          </w:tcPr>
          <w:p>
            <w:pPr>
              <w:spacing w:after="0"/>
              <w:rPr>
                <w:sz w:val="19"/>
                <w:szCs w:val="19"/>
                <w:color w:val="auto"/>
              </w:rPr>
            </w:pPr>
          </w:p>
        </w:tc>
        <w:tc>
          <w:tcPr>
            <w:tcW w:w="2980" w:type="dxa"/>
            <w:vAlign w:val="bottom"/>
            <w:tcBorders>
              <w:bottom w:val="single" w:sz="8" w:color="auto"/>
              <w:right w:val="single" w:sz="8" w:color="auto"/>
            </w:tcBorders>
          </w:tcPr>
          <w:p>
            <w:pPr>
              <w:ind w:left="94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5"/>
              </w:rPr>
              <w:t>VI-01</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Cilindros e recipientes semelhantes para gás</w:t>
            </w:r>
          </w:p>
        </w:tc>
        <w:tc>
          <w:tcPr>
            <w:tcW w:w="40" w:type="dxa"/>
            <w:vAlign w:val="bottom"/>
          </w:tcPr>
          <w:p>
            <w:pPr>
              <w:spacing w:after="0"/>
              <w:rPr>
                <w:sz w:val="18"/>
                <w:szCs w:val="18"/>
                <w:color w:val="auto"/>
              </w:rPr>
            </w:pPr>
          </w:p>
        </w:tc>
        <w:tc>
          <w:tcPr>
            <w:tcW w:w="2980" w:type="dxa"/>
            <w:vAlign w:val="bottom"/>
            <w:tcBorders>
              <w:right w:val="single" w:sz="8" w:color="auto"/>
            </w:tcBorders>
          </w:tcPr>
          <w:p>
            <w:pPr>
              <w:ind w:left="40"/>
              <w:spacing w:after="0" w:line="208" w:lineRule="exact"/>
              <w:rPr>
                <w:sz w:val="20"/>
                <w:szCs w:val="20"/>
                <w:color w:val="auto"/>
              </w:rPr>
            </w:pPr>
            <w:r>
              <w:rPr>
                <w:rFonts w:ascii="Arial" w:cs="Arial" w:eastAsia="Arial" w:hAnsi="Arial"/>
                <w:sz w:val="21"/>
                <w:szCs w:val="21"/>
                <w:color w:val="auto"/>
              </w:rPr>
              <w:t>7311, 7419.99, 7613</w:t>
            </w:r>
          </w:p>
        </w:tc>
        <w:tc>
          <w:tcPr>
            <w:tcW w:w="680" w:type="dxa"/>
            <w:vAlign w:val="bottom"/>
          </w:tcPr>
          <w:p>
            <w:pPr>
              <w:spacing w:after="0"/>
              <w:rPr>
                <w:sz w:val="18"/>
                <w:szCs w:val="18"/>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comprimido ou liquefeito, incluindo recipientes</w:t>
            </w:r>
          </w:p>
        </w:tc>
        <w:tc>
          <w:tcPr>
            <w:tcW w:w="40" w:type="dxa"/>
            <w:vAlign w:val="bottom"/>
            <w:tcBorders>
              <w:bottom w:val="single" w:sz="8" w:color="auto"/>
            </w:tcBorders>
          </w:tcPr>
          <w:p>
            <w:pPr>
              <w:spacing w:after="0"/>
              <w:rPr>
                <w:sz w:val="22"/>
                <w:szCs w:val="22"/>
                <w:color w:val="auto"/>
              </w:rPr>
            </w:pPr>
          </w:p>
        </w:tc>
        <w:tc>
          <w:tcPr>
            <w:tcW w:w="298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bl>
    <w:p>
      <w:pPr>
        <w:sectPr>
          <w:pgSz w:w="11900" w:h="16838" w:orient="portrait"/>
          <w:cols w:equalWidth="0" w:num="1">
            <w:col w:w="10520"/>
          </w:cols>
          <w:pgMar w:left="680" w:top="803" w:right="706" w:bottom="1440" w:gutter="0" w:footer="0" w:header="0"/>
        </w:sectPr>
      </w:pPr>
    </w:p>
    <w:bookmarkStart w:id="15" w:name="page16"/>
    <w:bookmarkEnd w:id="15"/>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41"/>
        </w:trPr>
        <w:tc>
          <w:tcPr>
            <w:tcW w:w="1180" w:type="dxa"/>
            <w:vAlign w:val="bottom"/>
          </w:tcPr>
          <w:p>
            <w:pPr>
              <w:jc w:val="right"/>
              <w:ind w:right="780"/>
              <w:spacing w:after="0"/>
              <w:rPr>
                <w:sz w:val="20"/>
                <w:szCs w:val="20"/>
                <w:color w:val="auto"/>
              </w:rPr>
            </w:pPr>
            <w:r>
              <w:rPr>
                <w:rFonts w:ascii="Times New Roman" w:cs="Times New Roman" w:eastAsia="Times New Roman" w:hAnsi="Times New Roman"/>
                <w:sz w:val="20"/>
                <w:szCs w:val="20"/>
                <w:color w:val="auto"/>
                <w:w w:val="93"/>
              </w:rPr>
              <w:t>360</w:t>
            </w:r>
          </w:p>
        </w:tc>
        <w:tc>
          <w:tcPr>
            <w:tcW w:w="108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3700" w:type="dxa"/>
            <w:vAlign w:val="bottom"/>
            <w:gridSpan w:val="2"/>
          </w:tcPr>
          <w:p>
            <w:pPr>
              <w:ind w:left="1640"/>
              <w:spacing w:after="0"/>
              <w:rPr>
                <w:sz w:val="20"/>
                <w:szCs w:val="20"/>
                <w:color w:val="auto"/>
              </w:rPr>
            </w:pPr>
            <w:r>
              <w:rPr>
                <w:rFonts w:ascii="Times New Roman" w:cs="Times New Roman" w:eastAsia="Times New Roman" w:hAnsi="Times New Roman"/>
                <w:sz w:val="20"/>
                <w:szCs w:val="20"/>
                <w:i w:val="1"/>
                <w:iCs w:val="1"/>
                <w:color w:val="auto"/>
              </w:rPr>
              <w:t>I SÉRIE — NÚMERO 50</w:t>
            </w:r>
          </w:p>
        </w:tc>
      </w:tr>
      <w:tr>
        <w:trPr>
          <w:trHeight w:val="40"/>
        </w:trPr>
        <w:tc>
          <w:tcPr>
            <w:tcW w:w="1180" w:type="dxa"/>
            <w:vAlign w:val="bottom"/>
            <w:tcBorders>
              <w:bottom w:val="single" w:sz="8" w:color="auto"/>
            </w:tcBorders>
          </w:tcPr>
          <w:p>
            <w:pPr>
              <w:spacing w:after="0"/>
              <w:rPr>
                <w:sz w:val="3"/>
                <w:szCs w:val="3"/>
                <w:color w:val="auto"/>
              </w:rPr>
            </w:pPr>
          </w:p>
        </w:tc>
        <w:tc>
          <w:tcPr>
            <w:tcW w:w="108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r>
      <w:tr>
        <w:trPr>
          <w:trHeight w:val="256"/>
        </w:trPr>
        <w:tc>
          <w:tcPr>
            <w:tcW w:w="1180" w:type="dxa"/>
            <w:vAlign w:val="bottom"/>
          </w:tcPr>
          <w:p>
            <w:pPr>
              <w:spacing w:after="0"/>
              <w:rPr>
                <w:sz w:val="22"/>
                <w:szCs w:val="22"/>
                <w:color w:val="auto"/>
              </w:rPr>
            </w:pPr>
          </w:p>
        </w:tc>
        <w:tc>
          <w:tcPr>
            <w:tcW w:w="1080" w:type="dxa"/>
            <w:vAlign w:val="bottom"/>
            <w:tcBorders>
              <w:bottom w:val="single" w:sz="8" w:color="auto"/>
            </w:tcBorders>
          </w:tcPr>
          <w:p>
            <w:pPr>
              <w:spacing w:after="0"/>
              <w:rPr>
                <w:sz w:val="22"/>
                <w:szCs w:val="22"/>
                <w:color w:val="auto"/>
              </w:rPr>
            </w:pPr>
          </w:p>
        </w:tc>
        <w:tc>
          <w:tcPr>
            <w:tcW w:w="4560" w:type="dxa"/>
            <w:vAlign w:val="bottom"/>
            <w:tcBorders>
              <w:bottom w:val="single" w:sz="8" w:color="auto"/>
            </w:tcBorders>
          </w:tcPr>
          <w:p>
            <w:pPr>
              <w:spacing w:after="0"/>
              <w:rPr>
                <w:sz w:val="22"/>
                <w:szCs w:val="22"/>
                <w:color w:val="auto"/>
              </w:rPr>
            </w:pPr>
          </w:p>
        </w:tc>
        <w:tc>
          <w:tcPr>
            <w:tcW w:w="3020" w:type="dxa"/>
            <w:vAlign w:val="bottom"/>
            <w:tcBorders>
              <w:bottom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de qualquer capacidade para transporte</w:t>
            </w:r>
          </w:p>
        </w:tc>
        <w:tc>
          <w:tcPr>
            <w:tcW w:w="3020" w:type="dxa"/>
            <w:vAlign w:val="bottom"/>
            <w:tcBorders>
              <w:right w:val="single" w:sz="8" w:color="auto"/>
            </w:tcBorders>
          </w:tcPr>
          <w:p>
            <w:pPr>
              <w:spacing w:after="0"/>
              <w:rPr>
                <w:sz w:val="18"/>
                <w:szCs w:val="18"/>
                <w:color w:val="auto"/>
              </w:rPr>
            </w:pP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armazenamento de gases comprimidos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liquefeitos, e GLP, hélio, acetileno, oxigénio,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etc.</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280"/>
              <w:spacing w:after="0" w:line="208" w:lineRule="exact"/>
              <w:rPr>
                <w:sz w:val="20"/>
                <w:szCs w:val="20"/>
                <w:color w:val="auto"/>
              </w:rPr>
            </w:pPr>
            <w:r>
              <w:rPr>
                <w:rFonts w:ascii="Arial" w:cs="Arial" w:eastAsia="Arial" w:hAnsi="Arial"/>
                <w:sz w:val="21"/>
                <w:szCs w:val="21"/>
                <w:b w:val="1"/>
                <w:bCs w:val="1"/>
                <w:color w:val="auto"/>
              </w:rPr>
              <w:t>VI-02</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Fogões, churrasqueiras e aparelhos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7321</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domésticos e similares para acampamento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os fabricados com ferro ou aço.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Produtos, por exemplo aparelhos de cozinha,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aquecedores de pratos, fogões, fornos, fogões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acampamento, fogões de viagem, etc. que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usam sólidos, líquidos e gás como combustível</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ind w:left="280"/>
              <w:spacing w:after="0" w:line="226" w:lineRule="exact"/>
              <w:rPr>
                <w:sz w:val="20"/>
                <w:szCs w:val="20"/>
                <w:color w:val="auto"/>
              </w:rPr>
            </w:pPr>
            <w:r>
              <w:rPr>
                <w:rFonts w:ascii="Arial" w:cs="Arial" w:eastAsia="Arial" w:hAnsi="Arial"/>
                <w:sz w:val="21"/>
                <w:szCs w:val="21"/>
                <w:b w:val="1"/>
                <w:bCs w:val="1"/>
                <w:color w:val="auto"/>
              </w:rPr>
              <w:t>VI-03</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Bombas operadas manualmente e a pé,</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8413.20, 8414.20</w:t>
            </w:r>
          </w:p>
        </w:tc>
        <w:tc>
          <w:tcPr>
            <w:tcW w:w="680" w:type="dxa"/>
            <w:vAlign w:val="bottom"/>
          </w:tcPr>
          <w:p>
            <w:pPr>
              <w:spacing w:after="0"/>
              <w:rPr>
                <w:sz w:val="19"/>
                <w:szCs w:val="19"/>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280"/>
              <w:spacing w:after="0" w:line="211" w:lineRule="exact"/>
              <w:rPr>
                <w:sz w:val="20"/>
                <w:szCs w:val="20"/>
                <w:color w:val="auto"/>
              </w:rPr>
            </w:pPr>
            <w:r>
              <w:rPr>
                <w:rFonts w:ascii="Arial" w:cs="Arial" w:eastAsia="Arial" w:hAnsi="Arial"/>
                <w:sz w:val="21"/>
                <w:szCs w:val="21"/>
                <w:b w:val="1"/>
                <w:bCs w:val="1"/>
                <w:color w:val="auto"/>
              </w:rPr>
              <w:t>VI-04</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Lâmpadas e acessórios de iluminação não</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9405</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eléctricos, Incluindo lâmpadas de furacão,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candelabros e suportes de velas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280"/>
              <w:spacing w:after="0" w:line="208" w:lineRule="exact"/>
              <w:rPr>
                <w:sz w:val="20"/>
                <w:szCs w:val="20"/>
                <w:color w:val="auto"/>
              </w:rPr>
            </w:pPr>
            <w:r>
              <w:rPr>
                <w:rFonts w:ascii="Arial" w:cs="Arial" w:eastAsia="Arial" w:hAnsi="Arial"/>
                <w:sz w:val="21"/>
                <w:szCs w:val="21"/>
                <w:b w:val="1"/>
                <w:bCs w:val="1"/>
                <w:color w:val="auto"/>
              </w:rPr>
              <w:t>VI-05</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Bombas, ferramentas e outros motores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8407,8408,8409,8412,8413,</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semelhantes operando em motores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8414, 8467.81, 8467.89</w:t>
            </w: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de combustão interna</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23"/>
        </w:trPr>
        <w:tc>
          <w:tcPr>
            <w:tcW w:w="1180" w:type="dxa"/>
            <w:vAlign w:val="bottom"/>
            <w:tcBorders>
              <w:right w:val="single" w:sz="8" w:color="auto"/>
            </w:tcBorders>
          </w:tcPr>
          <w:p>
            <w:pPr>
              <w:spacing w:after="0"/>
              <w:rPr>
                <w:sz w:val="19"/>
                <w:szCs w:val="19"/>
                <w:color w:val="auto"/>
              </w:rPr>
            </w:pPr>
          </w:p>
        </w:tc>
        <w:tc>
          <w:tcPr>
            <w:tcW w:w="1080" w:type="dxa"/>
            <w:vAlign w:val="bottom"/>
            <w:tcBorders>
              <w:right w:val="single" w:sz="8" w:color="auto"/>
            </w:tcBorders>
          </w:tcPr>
          <w:p>
            <w:pPr>
              <w:ind w:left="280"/>
              <w:spacing w:after="0" w:line="223" w:lineRule="exact"/>
              <w:rPr>
                <w:sz w:val="20"/>
                <w:szCs w:val="20"/>
                <w:color w:val="auto"/>
              </w:rPr>
            </w:pPr>
            <w:r>
              <w:rPr>
                <w:rFonts w:ascii="Arial" w:cs="Arial" w:eastAsia="Arial" w:hAnsi="Arial"/>
                <w:sz w:val="21"/>
                <w:szCs w:val="21"/>
                <w:b w:val="1"/>
                <w:bCs w:val="1"/>
                <w:color w:val="auto"/>
              </w:rPr>
              <w:t>VI-06</w:t>
            </w:r>
          </w:p>
        </w:tc>
        <w:tc>
          <w:tcPr>
            <w:tcW w:w="4560" w:type="dxa"/>
            <w:vAlign w:val="bottom"/>
            <w:tcBorders>
              <w:right w:val="single" w:sz="8" w:color="auto"/>
            </w:tcBorders>
          </w:tcPr>
          <w:p>
            <w:pPr>
              <w:ind w:left="80"/>
              <w:spacing w:after="0" w:line="223" w:lineRule="exact"/>
              <w:rPr>
                <w:sz w:val="20"/>
                <w:szCs w:val="20"/>
                <w:color w:val="auto"/>
              </w:rPr>
            </w:pPr>
            <w:r>
              <w:rPr>
                <w:rFonts w:ascii="Arial" w:cs="Arial" w:eastAsia="Arial" w:hAnsi="Arial"/>
                <w:sz w:val="21"/>
                <w:szCs w:val="21"/>
                <w:color w:val="auto"/>
              </w:rPr>
              <w:t>Compressores de ar e ferramentas</w:t>
            </w:r>
            <w:r>
              <w:rPr>
                <w:rFonts w:ascii="Calibri" w:cs="Calibri" w:eastAsia="Calibri" w:hAnsi="Calibri"/>
                <w:sz w:val="21"/>
                <w:szCs w:val="21"/>
                <w:color w:val="auto"/>
              </w:rPr>
              <w:t>,</w:t>
            </w:r>
            <w:r>
              <w:rPr>
                <w:rFonts w:ascii="Arial" w:cs="Arial" w:eastAsia="Arial" w:hAnsi="Arial"/>
                <w:sz w:val="21"/>
                <w:szCs w:val="21"/>
                <w:color w:val="auto"/>
              </w:rPr>
              <w:t xml:space="preserve"> redutor</w:t>
            </w:r>
          </w:p>
        </w:tc>
        <w:tc>
          <w:tcPr>
            <w:tcW w:w="3020" w:type="dxa"/>
            <w:vAlign w:val="bottom"/>
            <w:tcBorders>
              <w:right w:val="single" w:sz="8" w:color="auto"/>
            </w:tcBorders>
          </w:tcPr>
          <w:p>
            <w:pPr>
              <w:ind w:left="80"/>
              <w:spacing w:after="0" w:line="223" w:lineRule="exact"/>
              <w:rPr>
                <w:sz w:val="20"/>
                <w:szCs w:val="20"/>
                <w:color w:val="auto"/>
              </w:rPr>
            </w:pPr>
            <w:r>
              <w:rPr>
                <w:rFonts w:ascii="Arial" w:cs="Arial" w:eastAsia="Arial" w:hAnsi="Arial"/>
                <w:sz w:val="21"/>
                <w:szCs w:val="21"/>
                <w:color w:val="auto"/>
              </w:rPr>
              <w:t>8414.4</w:t>
            </w:r>
          </w:p>
        </w:tc>
        <w:tc>
          <w:tcPr>
            <w:tcW w:w="680" w:type="dxa"/>
            <w:vAlign w:val="bottom"/>
          </w:tcPr>
          <w:p>
            <w:pPr>
              <w:spacing w:after="0"/>
              <w:rPr>
                <w:sz w:val="19"/>
                <w:szCs w:val="19"/>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de gás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280"/>
              <w:spacing w:after="0" w:line="208" w:lineRule="exact"/>
              <w:rPr>
                <w:sz w:val="20"/>
                <w:szCs w:val="20"/>
                <w:color w:val="auto"/>
              </w:rPr>
            </w:pPr>
            <w:r>
              <w:rPr>
                <w:rFonts w:ascii="Arial" w:cs="Arial" w:eastAsia="Arial" w:hAnsi="Arial"/>
                <w:sz w:val="21"/>
                <w:szCs w:val="21"/>
                <w:b w:val="1"/>
                <w:bCs w:val="1"/>
                <w:color w:val="auto"/>
              </w:rPr>
              <w:t>VI-07</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Aparelhos mecânicos para projecção,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8424.81,8424.89,8424.90</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dispersão ou pulverização de líquidos ou pó,</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aparelhos mecânicos, operados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manualmente ou não, pulverizadores de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mochila, pistolas de pulverização e produtos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semelhantes.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280"/>
              <w:spacing w:after="0" w:line="209" w:lineRule="exact"/>
              <w:rPr>
                <w:sz w:val="20"/>
                <w:szCs w:val="20"/>
                <w:color w:val="auto"/>
              </w:rPr>
            </w:pPr>
            <w:r>
              <w:rPr>
                <w:rFonts w:ascii="Arial" w:cs="Arial" w:eastAsia="Arial" w:hAnsi="Arial"/>
                <w:sz w:val="21"/>
                <w:szCs w:val="21"/>
                <w:b w:val="1"/>
                <w:bCs w:val="1"/>
                <w:color w:val="auto"/>
              </w:rPr>
              <w:t>VI-08</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Ferramentas manuais, peças e produtos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8201, 8202, 8203, 8204, 8205,</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semelhantes (pás, machados, ancinhos,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8206, 8207, 8210, 8211, 8213,</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tesouras para sebes, serras manuais, limas,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8214, 9604</w:t>
            </w: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alicates, chaves inglesas, martelos e tesouras,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incluindo os descritos no código HS 9604</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280"/>
              <w:spacing w:after="0" w:line="208" w:lineRule="exact"/>
              <w:rPr>
                <w:sz w:val="20"/>
                <w:szCs w:val="20"/>
                <w:color w:val="auto"/>
              </w:rPr>
            </w:pPr>
            <w:r>
              <w:rPr>
                <w:rFonts w:ascii="Arial" w:cs="Arial" w:eastAsia="Arial" w:hAnsi="Arial"/>
                <w:sz w:val="21"/>
                <w:szCs w:val="21"/>
                <w:b w:val="1"/>
                <w:bCs w:val="1"/>
                <w:color w:val="auto"/>
              </w:rPr>
              <w:t>VI-09</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Moagem, corte, polimento, limpeza e máquinas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6804, 6805, 8208, 8209</w:t>
            </w:r>
          </w:p>
        </w:tc>
        <w:tc>
          <w:tcPr>
            <w:tcW w:w="680" w:type="dxa"/>
            <w:vAlign w:val="bottom"/>
          </w:tcPr>
          <w:p>
            <w:pPr>
              <w:spacing w:after="0"/>
              <w:rPr>
                <w:sz w:val="18"/>
                <w:szCs w:val="18"/>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não eléctricas semelhantes incluindo, 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descritos nos códigos HS: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6804 - mós, pedras de moinho, tiras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couro, rebolos, roda de esmeril etc.</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6805 - pó ou grão abrasivo natural</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artificial à base de tecido ou papel.</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8208 - facas e lâminas de corte para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máquinas ou aparelhos mecânicos.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8209 - Placas, palitos, pontas e ferramentas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semelhantes não montados e cremes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280"/>
              <w:spacing w:after="0" w:line="208" w:lineRule="exact"/>
              <w:rPr>
                <w:sz w:val="20"/>
                <w:szCs w:val="20"/>
                <w:color w:val="auto"/>
              </w:rPr>
            </w:pPr>
            <w:r>
              <w:rPr>
                <w:rFonts w:ascii="Arial" w:cs="Arial" w:eastAsia="Arial" w:hAnsi="Arial"/>
                <w:sz w:val="21"/>
                <w:szCs w:val="21"/>
                <w:b w:val="1"/>
                <w:bCs w:val="1"/>
                <w:color w:val="auto"/>
              </w:rPr>
              <w:t>VI-10</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 xml:space="preserve">Máquina de costura não eléctrica e </w:t>
            </w:r>
            <w:r>
              <w:rPr>
                <w:rFonts w:ascii="Arial" w:cs="Arial" w:eastAsia="Arial" w:hAnsi="Arial"/>
                <w:sz w:val="21"/>
                <w:szCs w:val="21"/>
                <w:i w:val="1"/>
                <w:iCs w:val="1"/>
                <w:color w:val="auto"/>
              </w:rPr>
              <w:t>kit</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8452.10, 8452.30,</w:t>
            </w:r>
          </w:p>
        </w:tc>
        <w:tc>
          <w:tcPr>
            <w:tcW w:w="680" w:type="dxa"/>
            <w:vAlign w:val="bottom"/>
          </w:tcPr>
          <w:p>
            <w:pPr>
              <w:spacing w:after="0"/>
              <w:rPr>
                <w:sz w:val="18"/>
                <w:szCs w:val="18"/>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de costura</w:t>
            </w:r>
          </w:p>
        </w:tc>
        <w:tc>
          <w:tcPr>
            <w:tcW w:w="302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8452.90,9605</w:t>
            </w:r>
          </w:p>
        </w:tc>
        <w:tc>
          <w:tcPr>
            <w:tcW w:w="680" w:type="dxa"/>
            <w:vAlign w:val="bottom"/>
          </w:tcPr>
          <w:p>
            <w:pPr>
              <w:spacing w:after="0"/>
              <w:rPr>
                <w:sz w:val="23"/>
                <w:szCs w:val="23"/>
                <w:color w:val="auto"/>
              </w:rPr>
            </w:pPr>
          </w:p>
        </w:tc>
      </w:tr>
      <w:tr>
        <w:trPr>
          <w:trHeight w:val="263"/>
        </w:trPr>
        <w:tc>
          <w:tcPr>
            <w:tcW w:w="1180" w:type="dxa"/>
            <w:vAlign w:val="bottom"/>
            <w:tcBorders>
              <w:right w:val="single" w:sz="8" w:color="auto"/>
            </w:tcBorders>
          </w:tcPr>
          <w:p>
            <w:pPr>
              <w:spacing w:after="0"/>
              <w:rPr>
                <w:sz w:val="22"/>
                <w:szCs w:val="22"/>
                <w:color w:val="auto"/>
              </w:rPr>
            </w:pPr>
          </w:p>
        </w:tc>
        <w:tc>
          <w:tcPr>
            <w:tcW w:w="1080" w:type="dxa"/>
            <w:vAlign w:val="bottom"/>
            <w:tcBorders>
              <w:right w:val="single" w:sz="8" w:color="auto"/>
            </w:tcBorders>
          </w:tcPr>
          <w:p>
            <w:pPr>
              <w:spacing w:after="0"/>
              <w:rPr>
                <w:sz w:val="22"/>
                <w:szCs w:val="22"/>
                <w:color w:val="auto"/>
              </w:rPr>
            </w:pPr>
          </w:p>
        </w:tc>
        <w:tc>
          <w:tcPr>
            <w:tcW w:w="4560" w:type="dxa"/>
            <w:vAlign w:val="bottom"/>
            <w:tcBorders>
              <w:right w:val="single" w:sz="8" w:color="auto"/>
            </w:tcBorders>
          </w:tcPr>
          <w:p>
            <w:pPr>
              <w:spacing w:after="0"/>
              <w:rPr>
                <w:sz w:val="22"/>
                <w:szCs w:val="22"/>
                <w:color w:val="auto"/>
              </w:rPr>
            </w:pPr>
          </w:p>
        </w:tc>
        <w:tc>
          <w:tcPr>
            <w:tcW w:w="3020" w:type="dxa"/>
            <w:vAlign w:val="bottom"/>
            <w:tcBorders>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r>
    </w:tbl>
    <w:p>
      <w:pPr>
        <w:sectPr>
          <w:pgSz w:w="11900" w:h="16838" w:orient="portrait"/>
          <w:cols w:equalWidth="0" w:num="1">
            <w:col w:w="10520"/>
          </w:cols>
          <w:pgMar w:left="680" w:top="803" w:right="706" w:bottom="1440" w:gutter="0" w:footer="0" w:header="0"/>
        </w:sectPr>
      </w:pPr>
    </w:p>
    <w:bookmarkStart w:id="16" w:name="page17"/>
    <w:bookmarkEnd w:id="16"/>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40" w:type="dxa"/>
            <w:vAlign w:val="bottom"/>
            <w:gridSpan w:val="3"/>
          </w:tcPr>
          <w:p>
            <w:pPr>
              <w:spacing w:after="0"/>
              <w:rPr>
                <w:sz w:val="20"/>
                <w:szCs w:val="20"/>
                <w:color w:val="auto"/>
              </w:rPr>
            </w:pPr>
            <w:r>
              <w:rPr>
                <w:rFonts w:ascii="Times New Roman" w:cs="Times New Roman" w:eastAsia="Times New Roman" w:hAnsi="Times New Roman"/>
                <w:sz w:val="20"/>
                <w:szCs w:val="20"/>
                <w:i w:val="1"/>
                <w:iCs w:val="1"/>
                <w:color w:val="auto"/>
                <w:w w:val="99"/>
              </w:rPr>
              <w:t>14 DE MARÇO DE 2022</w:t>
            </w:r>
          </w:p>
        </w:tc>
        <w:tc>
          <w:tcPr>
            <w:tcW w:w="220" w:type="dxa"/>
            <w:vAlign w:val="bottom"/>
          </w:tcPr>
          <w:p>
            <w:pPr>
              <w:spacing w:after="0"/>
              <w:rPr>
                <w:sz w:val="19"/>
                <w:szCs w:val="19"/>
                <w:color w:val="auto"/>
              </w:rPr>
            </w:pPr>
          </w:p>
        </w:tc>
        <w:tc>
          <w:tcPr>
            <w:tcW w:w="4560" w:type="dxa"/>
            <w:vAlign w:val="bottom"/>
          </w:tcPr>
          <w:p>
            <w:pPr>
              <w:spacing w:after="0"/>
              <w:rPr>
                <w:sz w:val="19"/>
                <w:szCs w:val="19"/>
                <w:color w:val="auto"/>
              </w:rPr>
            </w:pPr>
          </w:p>
        </w:tc>
        <w:tc>
          <w:tcPr>
            <w:tcW w:w="3700" w:type="dxa"/>
            <w:vAlign w:val="bottom"/>
            <w:gridSpan w:val="2"/>
          </w:tcPr>
          <w:p>
            <w:pPr>
              <w:ind w:left="3400"/>
              <w:spacing w:after="0"/>
              <w:rPr>
                <w:sz w:val="20"/>
                <w:szCs w:val="20"/>
                <w:color w:val="auto"/>
              </w:rPr>
            </w:pPr>
            <w:r>
              <w:rPr>
                <w:rFonts w:ascii="Times New Roman" w:cs="Times New Roman" w:eastAsia="Times New Roman" w:hAnsi="Times New Roman"/>
                <w:sz w:val="20"/>
                <w:szCs w:val="20"/>
                <w:color w:val="auto"/>
                <w:w w:val="93"/>
              </w:rPr>
              <w:t>361</w:t>
            </w:r>
          </w:p>
        </w:tc>
        <w:tc>
          <w:tcPr>
            <w:tcW w:w="0" w:type="dxa"/>
            <w:vAlign w:val="bottom"/>
          </w:tcPr>
          <w:p>
            <w:pPr>
              <w:spacing w:after="0"/>
              <w:rPr>
                <w:sz w:val="1"/>
                <w:szCs w:val="1"/>
                <w:color w:val="auto"/>
              </w:rPr>
            </w:pPr>
          </w:p>
        </w:tc>
      </w:tr>
      <w:tr>
        <w:trPr>
          <w:trHeight w:val="40"/>
        </w:trPr>
        <w:tc>
          <w:tcPr>
            <w:tcW w:w="118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780" w:type="dxa"/>
            <w:vAlign w:val="bottom"/>
            <w:tcBorders>
              <w:bottom w:val="single" w:sz="8" w:color="auto"/>
            </w:tcBorders>
          </w:tcPr>
          <w:p>
            <w:pPr>
              <w:spacing w:after="0"/>
              <w:rPr>
                <w:sz w:val="3"/>
                <w:szCs w:val="3"/>
                <w:color w:val="auto"/>
              </w:rPr>
            </w:pPr>
          </w:p>
        </w:tc>
        <w:tc>
          <w:tcPr>
            <w:tcW w:w="22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07"/>
        </w:trPr>
        <w:tc>
          <w:tcPr>
            <w:tcW w:w="118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jc w:val="center"/>
              <w:spacing w:after="0" w:line="209" w:lineRule="exact"/>
              <w:rPr>
                <w:sz w:val="20"/>
                <w:szCs w:val="20"/>
                <w:color w:val="auto"/>
              </w:rPr>
            </w:pPr>
            <w:r>
              <w:rPr>
                <w:rFonts w:ascii="Arial" w:cs="Arial" w:eastAsia="Arial" w:hAnsi="Arial"/>
                <w:sz w:val="21"/>
                <w:szCs w:val="21"/>
                <w:b w:val="1"/>
                <w:bCs w:val="1"/>
                <w:color w:val="auto"/>
                <w:w w:val="95"/>
              </w:rPr>
              <w:t>VI-11</w:t>
            </w:r>
          </w:p>
        </w:tc>
        <w:tc>
          <w:tcPr>
            <w:tcW w:w="22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Ferramentas de limpeza não motorizadas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9603.10,9603.29,9603.30,</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manuais, incluindo vassouras, escovas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9603.40,9603.50,9603.90,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spacing w:after="0"/>
              <w:rPr>
                <w:sz w:val="22"/>
                <w:szCs w:val="22"/>
                <w:color w:val="auto"/>
              </w:rPr>
            </w:pPr>
          </w:p>
        </w:tc>
        <w:tc>
          <w:tcPr>
            <w:tcW w:w="22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colectores de lixo, pano de limpeza, etc.</w:t>
            </w: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3924.90, 6307.10</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5"/>
        </w:trPr>
        <w:tc>
          <w:tcPr>
            <w:tcW w:w="1180" w:type="dxa"/>
            <w:vAlign w:val="bottom"/>
            <w:tcBorders>
              <w:right w:val="single" w:sz="8" w:color="auto"/>
            </w:tcBorders>
          </w:tcPr>
          <w:p>
            <w:pPr>
              <w:spacing w:after="0"/>
              <w:rPr>
                <w:sz w:val="23"/>
                <w:szCs w:val="23"/>
                <w:color w:val="auto"/>
              </w:rPr>
            </w:pPr>
          </w:p>
        </w:tc>
        <w:tc>
          <w:tcPr>
            <w:tcW w:w="80" w:type="dxa"/>
            <w:vAlign w:val="bottom"/>
            <w:shd w:val="clear" w:color="auto" w:fill="D9D9D9"/>
          </w:tcPr>
          <w:p>
            <w:pPr>
              <w:spacing w:after="0"/>
              <w:rPr>
                <w:sz w:val="23"/>
                <w:szCs w:val="23"/>
                <w:color w:val="auto"/>
              </w:rPr>
            </w:pPr>
          </w:p>
        </w:tc>
        <w:tc>
          <w:tcPr>
            <w:tcW w:w="780" w:type="dxa"/>
            <w:vAlign w:val="bottom"/>
            <w:shd w:val="clear" w:color="auto" w:fill="D9D9D9"/>
          </w:tcPr>
          <w:p>
            <w:pPr>
              <w:spacing w:after="0"/>
              <w:rPr>
                <w:sz w:val="23"/>
                <w:szCs w:val="23"/>
                <w:color w:val="auto"/>
              </w:rPr>
            </w:pPr>
          </w:p>
        </w:tc>
        <w:tc>
          <w:tcPr>
            <w:tcW w:w="7800" w:type="dxa"/>
            <w:vAlign w:val="bottom"/>
            <w:tcBorders>
              <w:right w:val="single" w:sz="8" w:color="auto"/>
            </w:tcBorders>
            <w:gridSpan w:val="3"/>
            <w:shd w:val="clear" w:color="auto" w:fill="D9D9D9"/>
          </w:tcPr>
          <w:p>
            <w:pPr>
              <w:spacing w:after="0"/>
              <w:rPr>
                <w:sz w:val="20"/>
                <w:szCs w:val="20"/>
                <w:color w:val="auto"/>
              </w:rPr>
            </w:pPr>
            <w:r>
              <w:rPr>
                <w:rFonts w:ascii="Arial" w:cs="Arial" w:eastAsia="Arial" w:hAnsi="Arial"/>
                <w:sz w:val="21"/>
                <w:szCs w:val="21"/>
                <w:b w:val="1"/>
                <w:bCs w:val="1"/>
                <w:color w:val="auto"/>
              </w:rPr>
              <w:t>Grupo VII – Têxteis, couro, plástico, borracha e produtos relacionados</w:t>
            </w: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71"/>
        </w:trPr>
        <w:tc>
          <w:tcPr>
            <w:tcW w:w="1180" w:type="dxa"/>
            <w:vAlign w:val="bottom"/>
            <w:tcBorders>
              <w:right w:val="single" w:sz="8" w:color="auto"/>
            </w:tcBorders>
          </w:tcPr>
          <w:p>
            <w:pPr>
              <w:spacing w:after="0"/>
              <w:rPr>
                <w:sz w:val="6"/>
                <w:szCs w:val="6"/>
                <w:color w:val="auto"/>
              </w:rPr>
            </w:pPr>
          </w:p>
        </w:tc>
        <w:tc>
          <w:tcPr>
            <w:tcW w:w="80" w:type="dxa"/>
            <w:vAlign w:val="bottom"/>
            <w:tcBorders>
              <w:bottom w:val="single" w:sz="8" w:color="auto"/>
            </w:tcBorders>
            <w:shd w:val="clear" w:color="auto" w:fill="D9D9D9"/>
          </w:tcPr>
          <w:p>
            <w:pPr>
              <w:spacing w:after="0"/>
              <w:rPr>
                <w:sz w:val="6"/>
                <w:szCs w:val="6"/>
                <w:color w:val="auto"/>
              </w:rPr>
            </w:pPr>
          </w:p>
        </w:tc>
        <w:tc>
          <w:tcPr>
            <w:tcW w:w="780" w:type="dxa"/>
            <w:vAlign w:val="bottom"/>
            <w:tcBorders>
              <w:bottom w:val="single" w:sz="8" w:color="auto"/>
            </w:tcBorders>
            <w:shd w:val="clear" w:color="auto" w:fill="D9D9D9"/>
          </w:tcPr>
          <w:p>
            <w:pPr>
              <w:spacing w:after="0"/>
              <w:rPr>
                <w:sz w:val="6"/>
                <w:szCs w:val="6"/>
                <w:color w:val="auto"/>
              </w:rPr>
            </w:pPr>
          </w:p>
        </w:tc>
        <w:tc>
          <w:tcPr>
            <w:tcW w:w="220" w:type="dxa"/>
            <w:vAlign w:val="bottom"/>
            <w:tcBorders>
              <w:bottom w:val="single" w:sz="8" w:color="auto"/>
              <w:right w:val="single" w:sz="8" w:color="D9D9D9"/>
            </w:tcBorders>
            <w:shd w:val="clear" w:color="auto" w:fill="D9D9D9"/>
          </w:tcPr>
          <w:p>
            <w:pPr>
              <w:spacing w:after="0"/>
              <w:rPr>
                <w:sz w:val="6"/>
                <w:szCs w:val="6"/>
                <w:color w:val="auto"/>
              </w:rPr>
            </w:pPr>
          </w:p>
        </w:tc>
        <w:tc>
          <w:tcPr>
            <w:tcW w:w="4560" w:type="dxa"/>
            <w:vAlign w:val="bottom"/>
            <w:tcBorders>
              <w:bottom w:val="single" w:sz="8" w:color="auto"/>
              <w:right w:val="single" w:sz="8" w:color="D9D9D9"/>
            </w:tcBorders>
            <w:shd w:val="clear" w:color="auto" w:fill="D9D9D9"/>
          </w:tcPr>
          <w:p>
            <w:pPr>
              <w:spacing w:after="0"/>
              <w:rPr>
                <w:sz w:val="6"/>
                <w:szCs w:val="6"/>
                <w:color w:val="auto"/>
              </w:rPr>
            </w:pPr>
          </w:p>
        </w:tc>
        <w:tc>
          <w:tcPr>
            <w:tcW w:w="3020" w:type="dxa"/>
            <w:vAlign w:val="bottom"/>
            <w:tcBorders>
              <w:bottom w:val="single" w:sz="8" w:color="auto"/>
              <w:right w:val="single" w:sz="8" w:color="auto"/>
            </w:tcBorders>
            <w:shd w:val="clear" w:color="auto" w:fill="D9D9D9"/>
          </w:tcPr>
          <w:p>
            <w:pPr>
              <w:spacing w:after="0"/>
              <w:rPr>
                <w:sz w:val="6"/>
                <w:szCs w:val="6"/>
                <w:color w:val="auto"/>
              </w:rPr>
            </w:pPr>
          </w:p>
        </w:tc>
        <w:tc>
          <w:tcPr>
            <w:tcW w:w="6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220" w:type="dxa"/>
            <w:vAlign w:val="bottom"/>
            <w:tcBorders>
              <w:bottom w:val="single" w:sz="8" w:color="auto"/>
              <w:right w:val="single" w:sz="8" w:color="auto"/>
            </w:tcBorders>
          </w:tcPr>
          <w:p>
            <w:pPr>
              <w:spacing w:after="0"/>
              <w:rPr>
                <w:sz w:val="19"/>
                <w:szCs w:val="19"/>
                <w:color w:val="auto"/>
              </w:rPr>
            </w:pP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Seda tecida, fibras descontínuas, tecidos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5007, 5111, 5112, 5113, 5208,</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malha, acolchoados, têxteis de borracha</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5209, 5210, 5211, 5212, 5309,</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produtos semelhantes, incluindo os de</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5310, 5311, 5801, 5802, 5803,</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vMerge w:val="restart"/>
          </w:tcPr>
          <w:p>
            <w:pPr>
              <w:jc w:val="center"/>
              <w:spacing w:after="0"/>
              <w:rPr>
                <w:sz w:val="20"/>
                <w:szCs w:val="20"/>
                <w:color w:val="auto"/>
              </w:rPr>
            </w:pPr>
            <w:r>
              <w:rPr>
                <w:rFonts w:ascii="Arial" w:cs="Arial" w:eastAsia="Arial" w:hAnsi="Arial"/>
                <w:sz w:val="21"/>
                <w:szCs w:val="21"/>
                <w:b w:val="1"/>
                <w:bCs w:val="1"/>
                <w:color w:val="auto"/>
                <w:w w:val="99"/>
              </w:rPr>
              <w:t>VII-01</w:t>
            </w: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materiais naturais, sintéticos e artificiais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5804, 5805, 5806, 5407, 5408,</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vMerge w:val="continue"/>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5512, 5513, 5514, 5515, 5516,</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5602, 5603, 5809, 5811, 5901,</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5903, 5906, 5907, 5909, 5910,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5911, 6001, 6002, 6003, 6004,</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spacing w:after="0"/>
              <w:rPr>
                <w:sz w:val="22"/>
                <w:szCs w:val="22"/>
                <w:color w:val="auto"/>
              </w:rPr>
            </w:pPr>
          </w:p>
        </w:tc>
        <w:tc>
          <w:tcPr>
            <w:tcW w:w="22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6005, 6006</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jc w:val="center"/>
              <w:spacing w:after="0" w:line="208" w:lineRule="exact"/>
              <w:rPr>
                <w:sz w:val="20"/>
                <w:szCs w:val="20"/>
                <w:color w:val="auto"/>
              </w:rPr>
            </w:pPr>
            <w:r>
              <w:rPr>
                <w:rFonts w:ascii="Arial" w:cs="Arial" w:eastAsia="Arial" w:hAnsi="Arial"/>
                <w:sz w:val="21"/>
                <w:szCs w:val="21"/>
                <w:b w:val="1"/>
                <w:bCs w:val="1"/>
                <w:color w:val="auto"/>
                <w:w w:val="99"/>
              </w:rPr>
              <w:t>VII-02</w:t>
            </w:r>
          </w:p>
        </w:tc>
        <w:tc>
          <w:tcPr>
            <w:tcW w:w="22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Cama e outras roupas de cama, cortinas,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63,016,302,630,363,000,000</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cobertores e produtos semelhantes, incluindo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toalhas de banho, rosto, praia, mãos, conjuntos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tecidos e fios para fazer toalhas de mesa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spacing w:after="0"/>
              <w:rPr>
                <w:sz w:val="22"/>
                <w:szCs w:val="22"/>
                <w:color w:val="auto"/>
              </w:rPr>
            </w:pPr>
          </w:p>
        </w:tc>
        <w:tc>
          <w:tcPr>
            <w:tcW w:w="22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tapeçarias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jc w:val="center"/>
              <w:spacing w:after="0" w:line="208" w:lineRule="exact"/>
              <w:rPr>
                <w:sz w:val="20"/>
                <w:szCs w:val="20"/>
                <w:color w:val="auto"/>
              </w:rPr>
            </w:pPr>
            <w:r>
              <w:rPr>
                <w:rFonts w:ascii="Arial" w:cs="Arial" w:eastAsia="Arial" w:hAnsi="Arial"/>
                <w:sz w:val="21"/>
                <w:szCs w:val="21"/>
                <w:b w:val="1"/>
                <w:bCs w:val="1"/>
                <w:color w:val="auto"/>
                <w:w w:val="99"/>
              </w:rPr>
              <w:t>VII-03</w:t>
            </w:r>
          </w:p>
        </w:tc>
        <w:tc>
          <w:tcPr>
            <w:tcW w:w="22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Artigos de vestuário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4203,4303,6101,6102,6103,</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6104,6105,6106,6107,6108,</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6109,6110, 6111,6112,6113,</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6114,6201,6202,6203,6204,</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6205,6206,6207,6208,6209,</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spacing w:after="0"/>
              <w:rPr>
                <w:sz w:val="22"/>
                <w:szCs w:val="22"/>
                <w:color w:val="auto"/>
              </w:rPr>
            </w:pPr>
          </w:p>
        </w:tc>
        <w:tc>
          <w:tcPr>
            <w:tcW w:w="22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6210, 6211, 6212</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jc w:val="center"/>
              <w:spacing w:after="0" w:line="209" w:lineRule="exact"/>
              <w:rPr>
                <w:sz w:val="20"/>
                <w:szCs w:val="20"/>
                <w:color w:val="auto"/>
              </w:rPr>
            </w:pPr>
            <w:r>
              <w:rPr>
                <w:rFonts w:ascii="Arial" w:cs="Arial" w:eastAsia="Arial" w:hAnsi="Arial"/>
                <w:sz w:val="21"/>
                <w:szCs w:val="21"/>
                <w:b w:val="1"/>
                <w:bCs w:val="1"/>
                <w:color w:val="auto"/>
                <w:w w:val="99"/>
              </w:rPr>
              <w:t>VII-04</w:t>
            </w:r>
          </w:p>
        </w:tc>
        <w:tc>
          <w:tcPr>
            <w:tcW w:w="22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Carpetes, tapetes, capachos e produtos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3918,4016.91, 5701,5702,</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similares, incluindo revestimento de piso,</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5703,5704,5705,5904, 5905</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spacing w:after="0"/>
              <w:rPr>
                <w:sz w:val="22"/>
                <w:szCs w:val="22"/>
                <w:color w:val="auto"/>
              </w:rPr>
            </w:pPr>
          </w:p>
        </w:tc>
        <w:tc>
          <w:tcPr>
            <w:tcW w:w="22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parede e teto.</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jc w:val="center"/>
              <w:spacing w:after="0" w:line="211" w:lineRule="exact"/>
              <w:rPr>
                <w:sz w:val="20"/>
                <w:szCs w:val="20"/>
                <w:color w:val="auto"/>
              </w:rPr>
            </w:pPr>
            <w:r>
              <w:rPr>
                <w:rFonts w:ascii="Arial" w:cs="Arial" w:eastAsia="Arial" w:hAnsi="Arial"/>
                <w:sz w:val="21"/>
                <w:szCs w:val="21"/>
                <w:b w:val="1"/>
                <w:bCs w:val="1"/>
                <w:color w:val="auto"/>
                <w:w w:val="99"/>
              </w:rPr>
              <w:t>VII-05</w:t>
            </w:r>
          </w:p>
        </w:tc>
        <w:tc>
          <w:tcPr>
            <w:tcW w:w="22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Redes mosquiteiras, redes de pesca</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5608, 6304</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produtos semelhantes, incluindo redes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spacing w:after="0"/>
              <w:rPr>
                <w:sz w:val="22"/>
                <w:szCs w:val="22"/>
                <w:color w:val="auto"/>
              </w:rPr>
            </w:pPr>
          </w:p>
        </w:tc>
        <w:tc>
          <w:tcPr>
            <w:tcW w:w="22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de cerco, rede para bolas de ténis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jc w:val="center"/>
              <w:spacing w:after="0" w:line="208" w:lineRule="exact"/>
              <w:rPr>
                <w:sz w:val="20"/>
                <w:szCs w:val="20"/>
                <w:color w:val="auto"/>
              </w:rPr>
            </w:pPr>
            <w:r>
              <w:rPr>
                <w:rFonts w:ascii="Arial" w:cs="Arial" w:eastAsia="Arial" w:hAnsi="Arial"/>
                <w:sz w:val="21"/>
                <w:szCs w:val="21"/>
                <w:b w:val="1"/>
                <w:bCs w:val="1"/>
                <w:color w:val="auto"/>
                <w:w w:val="99"/>
              </w:rPr>
              <w:t>VII-06</w:t>
            </w:r>
          </w:p>
        </w:tc>
        <w:tc>
          <w:tcPr>
            <w:tcW w:w="22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Fios e linhas naturais, sintéticos e artificiais,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5004,5005,5006,5106,5107,</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materiais naturais, sintéticos e</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5108,5109,5110,5204,5205,</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artificiais, fibras sintéticas (de náilon ou outras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5206,5207,5306,5307,5308,</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poliamidas, etc.)</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5401,5402,5403,5406,5503,</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5504,5505,5506,5507,5508,</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5509, 5510,5511,5604,5605,</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spacing w:after="0"/>
              <w:rPr>
                <w:sz w:val="22"/>
                <w:szCs w:val="22"/>
                <w:color w:val="auto"/>
              </w:rPr>
            </w:pPr>
          </w:p>
        </w:tc>
        <w:tc>
          <w:tcPr>
            <w:tcW w:w="22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5606, 5609</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jc w:val="center"/>
              <w:spacing w:after="0" w:line="209" w:lineRule="exact"/>
              <w:rPr>
                <w:sz w:val="20"/>
                <w:szCs w:val="20"/>
                <w:color w:val="auto"/>
              </w:rPr>
            </w:pPr>
            <w:r>
              <w:rPr>
                <w:rFonts w:ascii="Arial" w:cs="Arial" w:eastAsia="Arial" w:hAnsi="Arial"/>
                <w:sz w:val="21"/>
                <w:szCs w:val="21"/>
                <w:b w:val="1"/>
                <w:bCs w:val="1"/>
                <w:color w:val="auto"/>
                <w:w w:val="99"/>
              </w:rPr>
              <w:t>VII-07</w:t>
            </w:r>
          </w:p>
        </w:tc>
        <w:tc>
          <w:tcPr>
            <w:tcW w:w="22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Cordas e produtos semelhantes incluindo os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5607, 5609</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usados para amarrar pacotes, reboque,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780" w:type="dxa"/>
            <w:vAlign w:val="bottom"/>
            <w:tcBorders>
              <w:bottom w:val="single" w:sz="8" w:color="auto"/>
            </w:tcBorders>
          </w:tcPr>
          <w:p>
            <w:pPr>
              <w:spacing w:after="0"/>
              <w:rPr>
                <w:sz w:val="22"/>
                <w:szCs w:val="22"/>
                <w:color w:val="auto"/>
              </w:rPr>
            </w:pPr>
          </w:p>
        </w:tc>
        <w:tc>
          <w:tcPr>
            <w:tcW w:w="22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carregamento, etc.</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Placas, folhas, tiras, hastes, tubos, mangueiras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4001,4002, 4005,4006,4007,</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vMerge w:val="restart"/>
          </w:tcPr>
          <w:p>
            <w:pPr>
              <w:jc w:val="center"/>
              <w:spacing w:after="0"/>
              <w:rPr>
                <w:sz w:val="20"/>
                <w:szCs w:val="20"/>
                <w:color w:val="auto"/>
              </w:rPr>
            </w:pPr>
            <w:r>
              <w:rPr>
                <w:rFonts w:ascii="Arial" w:cs="Arial" w:eastAsia="Arial" w:hAnsi="Arial"/>
                <w:sz w:val="21"/>
                <w:szCs w:val="21"/>
                <w:b w:val="1"/>
                <w:bCs w:val="1"/>
                <w:color w:val="auto"/>
                <w:w w:val="99"/>
              </w:rPr>
              <w:t>VII-08</w:t>
            </w: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produtos semelhantes de borracha, incluindo</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4008,4009,4010, 4016, 4017</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vMerge w:val="continue"/>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tubos, canos e mangueiras com ou sem</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2"/>
        </w:trPr>
        <w:tc>
          <w:tcPr>
            <w:tcW w:w="1180" w:type="dxa"/>
            <w:vAlign w:val="bottom"/>
            <w:tcBorders>
              <w:right w:val="single" w:sz="8" w:color="auto"/>
            </w:tcBorders>
          </w:tcPr>
          <w:p>
            <w:pPr>
              <w:spacing w:after="0"/>
              <w:rPr>
                <w:sz w:val="21"/>
                <w:szCs w:val="21"/>
                <w:color w:val="auto"/>
              </w:rPr>
            </w:pPr>
          </w:p>
        </w:tc>
        <w:tc>
          <w:tcPr>
            <w:tcW w:w="80" w:type="dxa"/>
            <w:vAlign w:val="bottom"/>
          </w:tcPr>
          <w:p>
            <w:pPr>
              <w:spacing w:after="0"/>
              <w:rPr>
                <w:sz w:val="21"/>
                <w:szCs w:val="21"/>
                <w:color w:val="auto"/>
              </w:rPr>
            </w:pPr>
          </w:p>
        </w:tc>
        <w:tc>
          <w:tcPr>
            <w:tcW w:w="780" w:type="dxa"/>
            <w:vAlign w:val="bottom"/>
          </w:tcPr>
          <w:p>
            <w:pPr>
              <w:spacing w:after="0"/>
              <w:rPr>
                <w:sz w:val="21"/>
                <w:szCs w:val="21"/>
                <w:color w:val="auto"/>
              </w:rPr>
            </w:pPr>
          </w:p>
        </w:tc>
        <w:tc>
          <w:tcPr>
            <w:tcW w:w="220" w:type="dxa"/>
            <w:vAlign w:val="bottom"/>
            <w:tcBorders>
              <w:right w:val="single" w:sz="8" w:color="auto"/>
            </w:tcBorders>
          </w:tcPr>
          <w:p>
            <w:pPr>
              <w:spacing w:after="0"/>
              <w:rPr>
                <w:sz w:val="21"/>
                <w:szCs w:val="21"/>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acessórios, por ex. mangueira para acetileno.</w:t>
            </w:r>
          </w:p>
        </w:tc>
        <w:tc>
          <w:tcPr>
            <w:tcW w:w="3020" w:type="dxa"/>
            <w:vAlign w:val="bottom"/>
            <w:tcBorders>
              <w:right w:val="single" w:sz="8" w:color="auto"/>
            </w:tcBorders>
          </w:tcPr>
          <w:p>
            <w:pPr>
              <w:spacing w:after="0"/>
              <w:rPr>
                <w:sz w:val="21"/>
                <w:szCs w:val="21"/>
                <w:color w:val="auto"/>
              </w:rPr>
            </w:pPr>
          </w:p>
        </w:tc>
        <w:tc>
          <w:tcPr>
            <w:tcW w:w="680" w:type="dxa"/>
            <w:vAlign w:val="bottom"/>
          </w:tcPr>
          <w:p>
            <w:pPr>
              <w:spacing w:after="0"/>
              <w:rPr>
                <w:sz w:val="21"/>
                <w:szCs w:val="2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-431165</wp:posOffset>
            </wp:positionH>
            <wp:positionV relativeFrom="paragraph">
              <wp:posOffset>2879725</wp:posOffset>
            </wp:positionV>
            <wp:extent cx="4763" cy="4763"/>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extLst>
                    </a:blip>
                    <a:srcRect/>
                    <a:stretch>
                      <a:fillRect/>
                    </a:stretch>
                  </pic:blipFill>
                  <pic:spPr bwMode="auto">
                    <a:xfrm>
                      <a:off x="0" y="0"/>
                      <a:ext cx="4763" cy="4763"/>
                    </a:xfrm>
                    <a:prstGeom prst="rect">
                      <a:avLst/>
                    </a:prstGeom>
                    <a:noFill/>
                  </pic:spPr>
                </pic:pic>
              </a:graphicData>
            </a:graphic>
          </wp:anchor>
        </w:drawing>
      </w:r>
    </w:p>
    <w:p>
      <w:pPr>
        <w:sectPr>
          <w:pgSz w:w="11900" w:h="16838" w:orient="portrait"/>
          <w:cols w:equalWidth="0" w:num="1">
            <w:col w:w="10520"/>
          </w:cols>
          <w:pgMar w:left="680" w:top="803" w:right="706" w:bottom="1440" w:gutter="0" w:footer="0" w:header="0"/>
        </w:sectPr>
      </w:pPr>
    </w:p>
    <w:bookmarkStart w:id="17" w:name="page18"/>
    <w:bookmarkEnd w:id="17"/>
    <w:tbl>
      <w:tblPr>
        <w:tblLayout w:type="fixed"/>
        <w:tblInd w:w="0" w:type="dxa"/>
        <w:tblCellMar>
          <w:top w:w="0" w:type="dxa"/>
          <w:left w:w="0" w:type="dxa"/>
          <w:bottom w:w="0" w:type="dxa"/>
          <w:right w:w="0" w:type="dxa"/>
        </w:tblCellMar>
      </w:tblPr>
      <w:tr>
        <w:trPr>
          <w:trHeight w:val="241"/>
        </w:trPr>
        <w:tc>
          <w:tcPr>
            <w:tcW w:w="1160" w:type="dxa"/>
            <w:vAlign w:val="bottom"/>
          </w:tcPr>
          <w:p>
            <w:pPr>
              <w:jc w:val="right"/>
              <w:ind w:right="760"/>
              <w:spacing w:after="0"/>
              <w:rPr>
                <w:sz w:val="20"/>
                <w:szCs w:val="20"/>
                <w:color w:val="auto"/>
              </w:rPr>
            </w:pPr>
            <w:r>
              <w:rPr>
                <w:rFonts w:ascii="Times New Roman" w:cs="Times New Roman" w:eastAsia="Times New Roman" w:hAnsi="Times New Roman"/>
                <w:sz w:val="20"/>
                <w:szCs w:val="20"/>
                <w:color w:val="auto"/>
                <w:w w:val="93"/>
              </w:rPr>
              <w:t>362</w:t>
            </w:r>
          </w:p>
        </w:tc>
        <w:tc>
          <w:tcPr>
            <w:tcW w:w="1000" w:type="dxa"/>
            <w:vAlign w:val="bottom"/>
          </w:tcPr>
          <w:p>
            <w:pPr>
              <w:spacing w:after="0"/>
              <w:rPr>
                <w:sz w:val="20"/>
                <w:szCs w:val="20"/>
                <w:color w:val="auto"/>
              </w:rPr>
            </w:pPr>
          </w:p>
        </w:tc>
        <w:tc>
          <w:tcPr>
            <w:tcW w:w="4640" w:type="dxa"/>
            <w:vAlign w:val="bottom"/>
          </w:tcPr>
          <w:p>
            <w:pPr>
              <w:spacing w:after="0"/>
              <w:rPr>
                <w:sz w:val="20"/>
                <w:szCs w:val="20"/>
                <w:color w:val="auto"/>
              </w:rPr>
            </w:pPr>
          </w:p>
        </w:tc>
        <w:tc>
          <w:tcPr>
            <w:tcW w:w="3720" w:type="dxa"/>
            <w:vAlign w:val="bottom"/>
            <w:gridSpan w:val="2"/>
          </w:tcPr>
          <w:p>
            <w:pPr>
              <w:ind w:left="1660"/>
              <w:spacing w:after="0"/>
              <w:rPr>
                <w:sz w:val="20"/>
                <w:szCs w:val="20"/>
                <w:color w:val="auto"/>
              </w:rPr>
            </w:pPr>
            <w:r>
              <w:rPr>
                <w:rFonts w:ascii="Times New Roman" w:cs="Times New Roman" w:eastAsia="Times New Roman" w:hAnsi="Times New Roman"/>
                <w:sz w:val="20"/>
                <w:szCs w:val="20"/>
                <w:i w:val="1"/>
                <w:iCs w:val="1"/>
                <w:color w:val="auto"/>
              </w:rPr>
              <w:t>I SÉRIE — NÚMERO 50</w:t>
            </w:r>
          </w:p>
        </w:tc>
        <w:tc>
          <w:tcPr>
            <w:tcW w:w="0" w:type="dxa"/>
            <w:vAlign w:val="bottom"/>
          </w:tcPr>
          <w:p>
            <w:pPr>
              <w:spacing w:after="0"/>
              <w:rPr>
                <w:sz w:val="1"/>
                <w:szCs w:val="1"/>
                <w:color w:val="auto"/>
              </w:rPr>
            </w:pPr>
          </w:p>
        </w:tc>
      </w:tr>
      <w:tr>
        <w:trPr>
          <w:trHeight w:val="40"/>
        </w:trPr>
        <w:tc>
          <w:tcPr>
            <w:tcW w:w="1160" w:type="dxa"/>
            <w:vAlign w:val="bottom"/>
            <w:tcBorders>
              <w:bottom w:val="single" w:sz="8" w:color="auto"/>
            </w:tcBorders>
          </w:tcPr>
          <w:p>
            <w:pPr>
              <w:spacing w:after="0"/>
              <w:rPr>
                <w:sz w:val="3"/>
                <w:szCs w:val="3"/>
                <w:color w:val="auto"/>
              </w:rPr>
            </w:pPr>
          </w:p>
        </w:tc>
        <w:tc>
          <w:tcPr>
            <w:tcW w:w="1000" w:type="dxa"/>
            <w:vAlign w:val="bottom"/>
            <w:tcBorders>
              <w:bottom w:val="single" w:sz="8" w:color="auto"/>
            </w:tcBorders>
          </w:tcPr>
          <w:p>
            <w:pPr>
              <w:spacing w:after="0"/>
              <w:rPr>
                <w:sz w:val="3"/>
                <w:szCs w:val="3"/>
                <w:color w:val="auto"/>
              </w:rPr>
            </w:pPr>
          </w:p>
        </w:tc>
        <w:tc>
          <w:tcPr>
            <w:tcW w:w="4640" w:type="dxa"/>
            <w:vAlign w:val="bottom"/>
            <w:tcBorders>
              <w:bottom w:val="single" w:sz="8" w:color="auto"/>
            </w:tcBorders>
          </w:tcPr>
          <w:p>
            <w:pPr>
              <w:spacing w:after="0"/>
              <w:rPr>
                <w:sz w:val="3"/>
                <w:szCs w:val="3"/>
                <w:color w:val="auto"/>
              </w:rPr>
            </w:pPr>
          </w:p>
        </w:tc>
        <w:tc>
          <w:tcPr>
            <w:tcW w:w="304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6"/>
        </w:trPr>
        <w:tc>
          <w:tcPr>
            <w:tcW w:w="1160" w:type="dxa"/>
            <w:vAlign w:val="bottom"/>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4640" w:type="dxa"/>
            <w:vAlign w:val="bottom"/>
            <w:tcBorders>
              <w:bottom w:val="single" w:sz="8" w:color="auto"/>
            </w:tcBorders>
          </w:tcPr>
          <w:p>
            <w:pPr>
              <w:spacing w:after="0"/>
              <w:rPr>
                <w:sz w:val="24"/>
                <w:szCs w:val="24"/>
                <w:color w:val="auto"/>
              </w:rPr>
            </w:pPr>
          </w:p>
        </w:tc>
        <w:tc>
          <w:tcPr>
            <w:tcW w:w="304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11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4640" w:type="dxa"/>
            <w:vAlign w:val="bottom"/>
          </w:tcPr>
          <w:p>
            <w:pPr>
              <w:ind w:left="180"/>
              <w:spacing w:after="0" w:line="209" w:lineRule="exact"/>
              <w:rPr>
                <w:sz w:val="20"/>
                <w:szCs w:val="20"/>
                <w:color w:val="auto"/>
              </w:rPr>
            </w:pPr>
            <w:r>
              <w:rPr>
                <w:rFonts w:ascii="Arial" w:cs="Arial" w:eastAsia="Arial" w:hAnsi="Arial"/>
                <w:sz w:val="21"/>
                <w:szCs w:val="21"/>
                <w:color w:val="auto"/>
              </w:rPr>
              <w:t>Sacos, estojos, capas e artigos para transporte</w:t>
            </w:r>
          </w:p>
        </w:tc>
        <w:tc>
          <w:tcPr>
            <w:tcW w:w="3040" w:type="dxa"/>
            <w:vAlign w:val="bottom"/>
          </w:tcPr>
          <w:p>
            <w:pPr>
              <w:ind w:left="100"/>
              <w:spacing w:after="0" w:line="209" w:lineRule="exact"/>
              <w:rPr>
                <w:sz w:val="20"/>
                <w:szCs w:val="20"/>
                <w:color w:val="auto"/>
              </w:rPr>
            </w:pPr>
            <w:r>
              <w:rPr>
                <w:rFonts w:ascii="Arial" w:cs="Arial" w:eastAsia="Arial" w:hAnsi="Arial"/>
                <w:sz w:val="21"/>
                <w:szCs w:val="21"/>
                <w:color w:val="auto"/>
              </w:rPr>
              <w:t>"3923,4202,5608.19,6305,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ou embalagem de mercadorias, por exemplo:</w:t>
            </w:r>
          </w:p>
        </w:tc>
        <w:tc>
          <w:tcPr>
            <w:tcW w:w="3040" w:type="dxa"/>
            <w:vAlign w:val="bottom"/>
          </w:tcPr>
          <w:p>
            <w:pPr>
              <w:ind w:left="100"/>
              <w:spacing w:after="0" w:line="238" w:lineRule="exact"/>
              <w:rPr>
                <w:sz w:val="20"/>
                <w:szCs w:val="20"/>
                <w:color w:val="auto"/>
              </w:rPr>
            </w:pPr>
            <w:r>
              <w:rPr>
                <w:rFonts w:ascii="Arial" w:cs="Arial" w:eastAsia="Arial" w:hAnsi="Arial"/>
                <w:sz w:val="21"/>
                <w:szCs w:val="21"/>
                <w:color w:val="auto"/>
              </w:rPr>
              <w:t>6307.90"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malas, estojos de vaidade, estojos para</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binóculos, estojos para câmaras, estojos para</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armas, carteiras, bolsas, sacolas desportivas,</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vMerge w:val="restart"/>
          </w:tcPr>
          <w:p>
            <w:pPr>
              <w:ind w:left="260"/>
              <w:spacing w:after="0"/>
              <w:rPr>
                <w:sz w:val="20"/>
                <w:szCs w:val="20"/>
                <w:color w:val="auto"/>
              </w:rPr>
            </w:pPr>
            <w:r>
              <w:rPr>
                <w:rFonts w:ascii="Arial" w:cs="Arial" w:eastAsia="Arial" w:hAnsi="Arial"/>
                <w:sz w:val="21"/>
                <w:szCs w:val="21"/>
                <w:b w:val="1"/>
                <w:bCs w:val="1"/>
                <w:color w:val="auto"/>
              </w:rPr>
              <w:t>VII-09</w:t>
            </w: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mochilas escolares, caixas, estojos, rolhas,</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vMerge w:val="continue"/>
          </w:tcPr>
          <w:p>
            <w:pPr>
              <w:spacing w:after="0"/>
              <w:rPr>
                <w:sz w:val="20"/>
                <w:szCs w:val="20"/>
                <w:color w:val="auto"/>
              </w:rPr>
            </w:pP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tampas, sachês de chá, recipiente para granel</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60" w:type="dxa"/>
            <w:vAlign w:val="bottom"/>
          </w:tcPr>
          <w:p>
            <w:pPr>
              <w:spacing w:after="0"/>
              <w:rPr>
                <w:sz w:val="22"/>
                <w:szCs w:val="22"/>
                <w:color w:val="auto"/>
              </w:rPr>
            </w:pPr>
          </w:p>
        </w:tc>
        <w:tc>
          <w:tcPr>
            <w:tcW w:w="1000" w:type="dxa"/>
            <w:vAlign w:val="bottom"/>
            <w:tcBorders>
              <w:bottom w:val="single" w:sz="8" w:color="auto"/>
            </w:tcBorders>
          </w:tcPr>
          <w:p>
            <w:pPr>
              <w:spacing w:after="0"/>
              <w:rPr>
                <w:sz w:val="22"/>
                <w:szCs w:val="22"/>
                <w:color w:val="auto"/>
              </w:rPr>
            </w:pPr>
          </w:p>
        </w:tc>
        <w:tc>
          <w:tcPr>
            <w:tcW w:w="4640" w:type="dxa"/>
            <w:vAlign w:val="bottom"/>
            <w:tcBorders>
              <w:bottom w:val="single" w:sz="8" w:color="auto"/>
            </w:tcBorders>
          </w:tcPr>
          <w:p>
            <w:pPr>
              <w:ind w:left="180"/>
              <w:spacing w:after="0"/>
              <w:rPr>
                <w:sz w:val="20"/>
                <w:szCs w:val="20"/>
                <w:color w:val="auto"/>
              </w:rPr>
            </w:pPr>
            <w:r>
              <w:rPr>
                <w:rFonts w:ascii="Arial" w:cs="Arial" w:eastAsia="Arial" w:hAnsi="Arial"/>
                <w:sz w:val="21"/>
                <w:szCs w:val="21"/>
                <w:color w:val="auto"/>
              </w:rPr>
              <w:t>intermediário para grãos, farinha e café</w:t>
            </w:r>
          </w:p>
        </w:tc>
        <w:tc>
          <w:tcPr>
            <w:tcW w:w="3040" w:type="dxa"/>
            <w:vAlign w:val="bottom"/>
            <w:tcBorders>
              <w:bottom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60" w:type="dxa"/>
            <w:vAlign w:val="bottom"/>
          </w:tcPr>
          <w:p>
            <w:pPr>
              <w:spacing w:after="0"/>
              <w:rPr>
                <w:sz w:val="18"/>
                <w:szCs w:val="18"/>
                <w:color w:val="auto"/>
              </w:rPr>
            </w:pPr>
          </w:p>
        </w:tc>
        <w:tc>
          <w:tcPr>
            <w:tcW w:w="1000" w:type="dxa"/>
            <w:vAlign w:val="bottom"/>
          </w:tcPr>
          <w:p>
            <w:pPr>
              <w:ind w:left="260"/>
              <w:spacing w:after="0" w:line="208" w:lineRule="exact"/>
              <w:rPr>
                <w:sz w:val="20"/>
                <w:szCs w:val="20"/>
                <w:color w:val="auto"/>
              </w:rPr>
            </w:pPr>
            <w:r>
              <w:rPr>
                <w:rFonts w:ascii="Arial" w:cs="Arial" w:eastAsia="Arial" w:hAnsi="Arial"/>
                <w:sz w:val="21"/>
                <w:szCs w:val="21"/>
                <w:b w:val="1"/>
                <w:bCs w:val="1"/>
                <w:color w:val="auto"/>
              </w:rPr>
              <w:t>VII-10</w:t>
            </w:r>
          </w:p>
        </w:tc>
        <w:tc>
          <w:tcPr>
            <w:tcW w:w="4640" w:type="dxa"/>
            <w:vAlign w:val="bottom"/>
          </w:tcPr>
          <w:p>
            <w:pPr>
              <w:ind w:left="180"/>
              <w:spacing w:after="0" w:line="208" w:lineRule="exact"/>
              <w:rPr>
                <w:sz w:val="20"/>
                <w:szCs w:val="20"/>
                <w:color w:val="auto"/>
              </w:rPr>
            </w:pPr>
            <w:r>
              <w:rPr>
                <w:rFonts w:ascii="Arial" w:cs="Arial" w:eastAsia="Arial" w:hAnsi="Arial"/>
                <w:sz w:val="21"/>
                <w:szCs w:val="21"/>
                <w:color w:val="auto"/>
              </w:rPr>
              <w:t>Calçados, incluindo atadores de sapato</w:t>
            </w:r>
          </w:p>
        </w:tc>
        <w:tc>
          <w:tcPr>
            <w:tcW w:w="3040" w:type="dxa"/>
            <w:vAlign w:val="bottom"/>
          </w:tcPr>
          <w:p>
            <w:pPr>
              <w:ind w:left="100"/>
              <w:spacing w:after="0" w:line="208" w:lineRule="exact"/>
              <w:rPr>
                <w:sz w:val="20"/>
                <w:szCs w:val="20"/>
                <w:color w:val="auto"/>
              </w:rPr>
            </w:pPr>
            <w:r>
              <w:rPr>
                <w:rFonts w:ascii="Arial" w:cs="Arial" w:eastAsia="Arial" w:hAnsi="Arial"/>
                <w:sz w:val="21"/>
                <w:szCs w:val="21"/>
                <w:color w:val="auto"/>
              </w:rPr>
              <w:t>5609, 6402,6403,6404,6405,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60" w:type="dxa"/>
            <w:vAlign w:val="bottom"/>
          </w:tcPr>
          <w:p>
            <w:pPr>
              <w:spacing w:after="0"/>
              <w:rPr>
                <w:sz w:val="22"/>
                <w:szCs w:val="22"/>
                <w:color w:val="auto"/>
              </w:rPr>
            </w:pPr>
          </w:p>
        </w:tc>
        <w:tc>
          <w:tcPr>
            <w:tcW w:w="1000" w:type="dxa"/>
            <w:vAlign w:val="bottom"/>
            <w:tcBorders>
              <w:bottom w:val="single" w:sz="8" w:color="auto"/>
            </w:tcBorders>
          </w:tcPr>
          <w:p>
            <w:pPr>
              <w:spacing w:after="0"/>
              <w:rPr>
                <w:sz w:val="22"/>
                <w:szCs w:val="22"/>
                <w:color w:val="auto"/>
              </w:rPr>
            </w:pPr>
          </w:p>
        </w:tc>
        <w:tc>
          <w:tcPr>
            <w:tcW w:w="4640" w:type="dxa"/>
            <w:vAlign w:val="bottom"/>
            <w:tcBorders>
              <w:bottom w:val="single" w:sz="8" w:color="auto"/>
            </w:tcBorders>
          </w:tcPr>
          <w:p>
            <w:pPr>
              <w:spacing w:after="0"/>
              <w:rPr>
                <w:sz w:val="22"/>
                <w:szCs w:val="22"/>
                <w:color w:val="auto"/>
              </w:rPr>
            </w:pPr>
          </w:p>
        </w:tc>
        <w:tc>
          <w:tcPr>
            <w:tcW w:w="3040" w:type="dxa"/>
            <w:vAlign w:val="bottom"/>
            <w:tcBorders>
              <w:bottom w:val="single" w:sz="8" w:color="auto"/>
            </w:tcBorders>
          </w:tcPr>
          <w:p>
            <w:pPr>
              <w:ind w:left="100"/>
              <w:spacing w:after="0"/>
              <w:rPr>
                <w:sz w:val="20"/>
                <w:szCs w:val="20"/>
                <w:color w:val="auto"/>
              </w:rPr>
            </w:pPr>
            <w:r>
              <w:rPr>
                <w:rFonts w:ascii="Arial" w:cs="Arial" w:eastAsia="Arial" w:hAnsi="Arial"/>
                <w:sz w:val="21"/>
                <w:szCs w:val="21"/>
                <w:color w:val="auto"/>
              </w:rPr>
              <w:t>6406, 6307.90</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4640" w:type="dxa"/>
            <w:vAlign w:val="bottom"/>
          </w:tcPr>
          <w:p>
            <w:pPr>
              <w:ind w:left="180"/>
              <w:spacing w:after="0" w:line="208" w:lineRule="exact"/>
              <w:rPr>
                <w:sz w:val="20"/>
                <w:szCs w:val="20"/>
                <w:color w:val="auto"/>
              </w:rPr>
            </w:pPr>
            <w:r>
              <w:rPr>
                <w:rFonts w:ascii="Arial" w:cs="Arial" w:eastAsia="Arial" w:hAnsi="Arial"/>
                <w:sz w:val="21"/>
                <w:szCs w:val="21"/>
                <w:color w:val="auto"/>
              </w:rPr>
              <w:t>Chapéus ou capacetes e peças</w:t>
            </w:r>
          </w:p>
        </w:tc>
        <w:tc>
          <w:tcPr>
            <w:tcW w:w="3040" w:type="dxa"/>
            <w:vAlign w:val="bottom"/>
          </w:tcPr>
          <w:p>
            <w:pPr>
              <w:ind w:left="100"/>
              <w:spacing w:after="0" w:line="208" w:lineRule="exact"/>
              <w:rPr>
                <w:sz w:val="20"/>
                <w:szCs w:val="20"/>
                <w:color w:val="auto"/>
              </w:rPr>
            </w:pPr>
            <w:r>
              <w:rPr>
                <w:rFonts w:ascii="Arial" w:cs="Arial" w:eastAsia="Arial" w:hAnsi="Arial"/>
                <w:sz w:val="21"/>
                <w:szCs w:val="21"/>
                <w:color w:val="auto"/>
              </w:rPr>
              <w:t>"6501,6502, 6504,6505,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4"/>
        </w:trPr>
        <w:tc>
          <w:tcPr>
            <w:tcW w:w="1160" w:type="dxa"/>
            <w:vAlign w:val="bottom"/>
          </w:tcPr>
          <w:p>
            <w:pPr>
              <w:spacing w:after="0"/>
              <w:rPr>
                <w:sz w:val="23"/>
                <w:szCs w:val="23"/>
                <w:color w:val="auto"/>
              </w:rPr>
            </w:pPr>
          </w:p>
        </w:tc>
        <w:tc>
          <w:tcPr>
            <w:tcW w:w="1000" w:type="dxa"/>
            <w:vAlign w:val="bottom"/>
            <w:vMerge w:val="restart"/>
          </w:tcPr>
          <w:p>
            <w:pPr>
              <w:ind w:left="260"/>
              <w:spacing w:after="0"/>
              <w:rPr>
                <w:sz w:val="20"/>
                <w:szCs w:val="20"/>
                <w:color w:val="auto"/>
              </w:rPr>
            </w:pPr>
            <w:r>
              <w:rPr>
                <w:rFonts w:ascii="Arial" w:cs="Arial" w:eastAsia="Arial" w:hAnsi="Arial"/>
                <w:sz w:val="21"/>
                <w:szCs w:val="21"/>
                <w:b w:val="1"/>
                <w:bCs w:val="1"/>
                <w:color w:val="auto"/>
              </w:rPr>
              <w:t>VII-11</w:t>
            </w:r>
          </w:p>
        </w:tc>
        <w:tc>
          <w:tcPr>
            <w:tcW w:w="4640" w:type="dxa"/>
            <w:vAlign w:val="bottom"/>
          </w:tcPr>
          <w:p>
            <w:pPr>
              <w:spacing w:after="0"/>
              <w:rPr>
                <w:sz w:val="23"/>
                <w:szCs w:val="23"/>
                <w:color w:val="auto"/>
              </w:rPr>
            </w:pPr>
          </w:p>
        </w:tc>
        <w:tc>
          <w:tcPr>
            <w:tcW w:w="3040" w:type="dxa"/>
            <w:vAlign w:val="bottom"/>
          </w:tcPr>
          <w:p>
            <w:pPr>
              <w:ind w:left="100"/>
              <w:spacing w:after="0"/>
              <w:rPr>
                <w:sz w:val="20"/>
                <w:szCs w:val="20"/>
                <w:color w:val="auto"/>
              </w:rPr>
            </w:pPr>
            <w:r>
              <w:rPr>
                <w:rFonts w:ascii="Arial" w:cs="Arial" w:eastAsia="Arial" w:hAnsi="Arial"/>
                <w:sz w:val="21"/>
                <w:szCs w:val="21"/>
                <w:color w:val="auto"/>
              </w:rPr>
              <w:t>6506,6507"</w:t>
            </w: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19"/>
        </w:trPr>
        <w:tc>
          <w:tcPr>
            <w:tcW w:w="1160" w:type="dxa"/>
            <w:vAlign w:val="bottom"/>
          </w:tcPr>
          <w:p>
            <w:pPr>
              <w:spacing w:after="0"/>
              <w:rPr>
                <w:sz w:val="19"/>
                <w:szCs w:val="19"/>
                <w:color w:val="auto"/>
              </w:rPr>
            </w:pPr>
          </w:p>
        </w:tc>
        <w:tc>
          <w:tcPr>
            <w:tcW w:w="1000" w:type="dxa"/>
            <w:vAlign w:val="bottom"/>
            <w:tcBorders>
              <w:bottom w:val="single" w:sz="8" w:color="auto"/>
            </w:tcBorders>
            <w:vMerge w:val="continue"/>
          </w:tcPr>
          <w:p>
            <w:pPr>
              <w:spacing w:after="0"/>
              <w:rPr>
                <w:sz w:val="19"/>
                <w:szCs w:val="19"/>
                <w:color w:val="auto"/>
              </w:rPr>
            </w:pPr>
          </w:p>
        </w:tc>
        <w:tc>
          <w:tcPr>
            <w:tcW w:w="4640" w:type="dxa"/>
            <w:vAlign w:val="bottom"/>
            <w:tcBorders>
              <w:bottom w:val="single" w:sz="8" w:color="auto"/>
            </w:tcBorders>
          </w:tcPr>
          <w:p>
            <w:pPr>
              <w:spacing w:after="0"/>
              <w:rPr>
                <w:sz w:val="19"/>
                <w:szCs w:val="19"/>
                <w:color w:val="auto"/>
              </w:rPr>
            </w:pPr>
          </w:p>
        </w:tc>
        <w:tc>
          <w:tcPr>
            <w:tcW w:w="3040" w:type="dxa"/>
            <w:vAlign w:val="bottom"/>
            <w:tcBorders>
              <w:bottom w:val="single" w:sz="8" w:color="auto"/>
            </w:tcBorders>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1"/>
        </w:trPr>
        <w:tc>
          <w:tcPr>
            <w:tcW w:w="11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4640" w:type="dxa"/>
            <w:vAlign w:val="bottom"/>
          </w:tcPr>
          <w:p>
            <w:pPr>
              <w:ind w:left="180"/>
              <w:spacing w:after="0" w:line="211" w:lineRule="exact"/>
              <w:rPr>
                <w:sz w:val="20"/>
                <w:szCs w:val="20"/>
                <w:color w:val="auto"/>
              </w:rPr>
            </w:pPr>
            <w:r>
              <w:rPr>
                <w:rFonts w:ascii="Arial" w:cs="Arial" w:eastAsia="Arial" w:hAnsi="Arial"/>
                <w:sz w:val="21"/>
                <w:szCs w:val="21"/>
                <w:color w:val="auto"/>
              </w:rPr>
              <w:t>Tendas, lonas, toldos, guarda-chuvas</w:t>
            </w:r>
          </w:p>
        </w:tc>
        <w:tc>
          <w:tcPr>
            <w:tcW w:w="3040" w:type="dxa"/>
            <w:vAlign w:val="bottom"/>
          </w:tcPr>
          <w:p>
            <w:pPr>
              <w:ind w:left="100"/>
              <w:spacing w:after="0" w:line="211" w:lineRule="exact"/>
              <w:rPr>
                <w:sz w:val="20"/>
                <w:szCs w:val="20"/>
                <w:color w:val="auto"/>
              </w:rPr>
            </w:pPr>
            <w:r>
              <w:rPr>
                <w:rFonts w:ascii="Arial" w:cs="Arial" w:eastAsia="Arial" w:hAnsi="Arial"/>
                <w:sz w:val="21"/>
                <w:szCs w:val="21"/>
                <w:color w:val="auto"/>
              </w:rPr>
              <w:t>6306,666,016,603</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e produtos semelhantes incluindo, os descritos</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nos códigos HS:</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 6306 - Persianas (ou toldos); tendas, por</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6"/>
        </w:trPr>
        <w:tc>
          <w:tcPr>
            <w:tcW w:w="11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4640" w:type="dxa"/>
            <w:vAlign w:val="bottom"/>
          </w:tcPr>
          <w:p>
            <w:pPr>
              <w:ind w:left="180"/>
              <w:spacing w:after="0" w:line="236" w:lineRule="exact"/>
              <w:rPr>
                <w:sz w:val="20"/>
                <w:szCs w:val="20"/>
                <w:color w:val="auto"/>
              </w:rPr>
            </w:pPr>
            <w:r>
              <w:rPr>
                <w:rFonts w:ascii="Arial" w:cs="Arial" w:eastAsia="Arial" w:hAnsi="Arial"/>
                <w:sz w:val="21"/>
                <w:szCs w:val="21"/>
                <w:color w:val="auto"/>
              </w:rPr>
              <w:t>exemplo de acampamento de praia, militar,</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vMerge w:val="restart"/>
          </w:tcPr>
          <w:p>
            <w:pPr>
              <w:ind w:left="260"/>
              <w:spacing w:after="0"/>
              <w:rPr>
                <w:sz w:val="20"/>
                <w:szCs w:val="20"/>
                <w:color w:val="auto"/>
              </w:rPr>
            </w:pPr>
            <w:r>
              <w:rPr>
                <w:rFonts w:ascii="Arial" w:cs="Arial" w:eastAsia="Arial" w:hAnsi="Arial"/>
                <w:sz w:val="21"/>
                <w:szCs w:val="21"/>
                <w:b w:val="1"/>
                <w:bCs w:val="1"/>
                <w:color w:val="auto"/>
              </w:rPr>
              <w:t>VII-14</w:t>
            </w: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de circo, etc.</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vMerge w:val="continue"/>
          </w:tcPr>
          <w:p>
            <w:pPr>
              <w:spacing w:after="0"/>
              <w:rPr>
                <w:sz w:val="20"/>
                <w:szCs w:val="20"/>
                <w:color w:val="auto"/>
              </w:rPr>
            </w:pP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 6601 - Todos os tipos de guarda-chuvas,</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por exemplo guarda-chuva de bengala, guarda-</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4640" w:type="dxa"/>
            <w:vAlign w:val="bottom"/>
          </w:tcPr>
          <w:p>
            <w:pPr>
              <w:ind w:left="180"/>
              <w:spacing w:after="0" w:line="238" w:lineRule="exact"/>
              <w:rPr>
                <w:sz w:val="20"/>
                <w:szCs w:val="20"/>
                <w:color w:val="auto"/>
              </w:rPr>
            </w:pPr>
            <w:r>
              <w:rPr>
                <w:rFonts w:ascii="Arial" w:cs="Arial" w:eastAsia="Arial" w:hAnsi="Arial"/>
                <w:sz w:val="21"/>
                <w:szCs w:val="21"/>
                <w:color w:val="auto"/>
              </w:rPr>
              <w:t>chuva de jardim, guarda-chuva de barraca, etc.</w:t>
            </w:r>
          </w:p>
        </w:tc>
        <w:tc>
          <w:tcPr>
            <w:tcW w:w="30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60" w:type="dxa"/>
            <w:vAlign w:val="bottom"/>
          </w:tcPr>
          <w:p>
            <w:pPr>
              <w:spacing w:after="0"/>
              <w:rPr>
                <w:sz w:val="22"/>
                <w:szCs w:val="22"/>
                <w:color w:val="auto"/>
              </w:rPr>
            </w:pPr>
          </w:p>
        </w:tc>
        <w:tc>
          <w:tcPr>
            <w:tcW w:w="1000" w:type="dxa"/>
            <w:vAlign w:val="bottom"/>
          </w:tcPr>
          <w:p>
            <w:pPr>
              <w:spacing w:after="0"/>
              <w:rPr>
                <w:sz w:val="22"/>
                <w:szCs w:val="22"/>
                <w:color w:val="auto"/>
              </w:rPr>
            </w:pPr>
          </w:p>
        </w:tc>
        <w:tc>
          <w:tcPr>
            <w:tcW w:w="4640" w:type="dxa"/>
            <w:vAlign w:val="bottom"/>
          </w:tcPr>
          <w:p>
            <w:pPr>
              <w:ind w:left="180"/>
              <w:spacing w:after="0"/>
              <w:rPr>
                <w:sz w:val="20"/>
                <w:szCs w:val="20"/>
                <w:color w:val="auto"/>
              </w:rPr>
            </w:pPr>
            <w:r>
              <w:rPr>
                <w:rFonts w:ascii="Arial" w:cs="Arial" w:eastAsia="Arial" w:hAnsi="Arial"/>
                <w:sz w:val="21"/>
                <w:szCs w:val="21"/>
                <w:color w:val="auto"/>
              </w:rPr>
              <w:t>● 6603 -Armações de guarda-chuva</w:t>
            </w:r>
          </w:p>
        </w:tc>
        <w:tc>
          <w:tcPr>
            <w:tcW w:w="3040" w:type="dxa"/>
            <w:vAlign w:val="bottom"/>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736600</wp:posOffset>
                </wp:positionH>
                <wp:positionV relativeFrom="paragraph">
                  <wp:posOffset>-3494405</wp:posOffset>
                </wp:positionV>
                <wp:extent cx="0" cy="6991985"/>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991985"/>
                        </a:xfrm>
                        <a:prstGeom prst="line">
                          <a:avLst/>
                        </a:prstGeom>
                        <a:solidFill>
                          <a:srgbClr val="FFFFFF"/>
                        </a:solidFill>
                        <a:ln w="5257">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8pt,-275.1499pt" to="58pt,275.4pt" o:allowincell="f" strokecolor="#000000" strokeweight="0.4139pt"/>
            </w:pict>
          </mc:Fallback>
        </mc:AlternateContent>
        <mc:AlternateContent>
          <mc:Choice Requires="wps">
            <w:drawing>
              <wp:anchor simplePos="0" relativeHeight="251657728" behindDoc="1" locked="0" layoutInCell="0" allowOverlap="1">
                <wp:simplePos x="0" y="0"/>
                <wp:positionH relativeFrom="column">
                  <wp:posOffset>1423035</wp:posOffset>
                </wp:positionH>
                <wp:positionV relativeFrom="paragraph">
                  <wp:posOffset>-3494405</wp:posOffset>
                </wp:positionV>
                <wp:extent cx="0" cy="349885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498850"/>
                        </a:xfrm>
                        <a:prstGeom prst="line">
                          <a:avLst/>
                        </a:prstGeom>
                        <a:solidFill>
                          <a:srgbClr val="FFFFFF"/>
                        </a:solidFill>
                        <a:ln w="524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2.05pt,-275.1499pt" to="112.05pt,0.35pt" o:allowincell="f" strokecolor="#000000" strokeweight="0.413pt"/>
            </w:pict>
          </mc:Fallback>
        </mc:AlternateContent>
        <mc:AlternateContent>
          <mc:Choice Requires="wps">
            <w:drawing>
              <wp:anchor simplePos="0" relativeHeight="251657728" behindDoc="1" locked="0" layoutInCell="0" allowOverlap="1">
                <wp:simplePos x="0" y="0"/>
                <wp:positionH relativeFrom="column">
                  <wp:posOffset>4320540</wp:posOffset>
                </wp:positionH>
                <wp:positionV relativeFrom="paragraph">
                  <wp:posOffset>-3494405</wp:posOffset>
                </wp:positionV>
                <wp:extent cx="0" cy="349885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498850"/>
                        </a:xfrm>
                        <a:prstGeom prst="line">
                          <a:avLst/>
                        </a:prstGeom>
                        <a:solidFill>
                          <a:srgbClr val="FFFFFF"/>
                        </a:solidFill>
                        <a:ln w="5257">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0.2pt,-275.1499pt" to="340.2pt,0.35pt" o:allowincell="f" strokecolor="#000000" strokeweight="0.4139pt"/>
            </w:pict>
          </mc:Fallback>
        </mc:AlternateContent>
        <mc:AlternateContent>
          <mc:Choice Requires="wps">
            <w:drawing>
              <wp:anchor simplePos="0" relativeHeight="251657728" behindDoc="1" locked="0" layoutInCell="0" allowOverlap="1">
                <wp:simplePos x="0" y="0"/>
                <wp:positionH relativeFrom="column">
                  <wp:posOffset>6243955</wp:posOffset>
                </wp:positionH>
                <wp:positionV relativeFrom="paragraph">
                  <wp:posOffset>-3494405</wp:posOffset>
                </wp:positionV>
                <wp:extent cx="0" cy="6991985"/>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991985"/>
                        </a:xfrm>
                        <a:prstGeom prst="line">
                          <a:avLst/>
                        </a:prstGeom>
                        <a:solidFill>
                          <a:srgbClr val="FFFFFF"/>
                        </a:solidFill>
                        <a:ln w="5244">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1.65pt,-275.1499pt" to="491.65pt,275.4pt" o:allowincell="f" strokecolor="#000000" strokeweight="0.4129pt"/>
            </w:pict>
          </mc:Fallback>
        </mc:AlternateContent>
        <mc:AlternateContent>
          <mc:Choice Requires="wps">
            <w:drawing>
              <wp:anchor simplePos="0" relativeHeight="251657728" behindDoc="1" locked="0" layoutInCell="0" allowOverlap="1">
                <wp:simplePos x="0" y="0"/>
                <wp:positionH relativeFrom="column">
                  <wp:posOffset>734060</wp:posOffset>
                </wp:positionH>
                <wp:positionV relativeFrom="paragraph">
                  <wp:posOffset>1905</wp:posOffset>
                </wp:positionV>
                <wp:extent cx="551243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12435" cy="4763"/>
                        </a:xfrm>
                        <a:prstGeom prst="line">
                          <a:avLst/>
                        </a:prstGeom>
                        <a:solidFill>
                          <a:srgbClr val="FFFFFF"/>
                        </a:solidFill>
                        <a:ln w="5257">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8pt,0.15pt" to="491.85pt,0.15pt" o:allowincell="f" strokecolor="#000000" strokeweight="0.4139pt"/>
            </w:pict>
          </mc:Fallback>
        </mc:AlternateContent>
      </w:r>
    </w:p>
    <w:p>
      <w:pPr>
        <w:ind w:left="3040"/>
        <w:spacing w:after="0"/>
        <w:rPr>
          <w:sz w:val="20"/>
          <w:szCs w:val="20"/>
          <w:color w:val="auto"/>
        </w:rPr>
      </w:pPr>
      <w:r>
        <w:rPr>
          <w:rFonts w:ascii="Arial" w:cs="Arial" w:eastAsia="Arial" w:hAnsi="Arial"/>
          <w:sz w:val="21"/>
          <w:szCs w:val="21"/>
          <w:b w:val="1"/>
          <w:bCs w:val="1"/>
          <w:color w:val="auto"/>
        </w:rPr>
        <w:t>Grupo VIII – Móveis e outros produtos de madeira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739140</wp:posOffset>
                </wp:positionH>
                <wp:positionV relativeFrom="paragraph">
                  <wp:posOffset>-146685</wp:posOffset>
                </wp:positionV>
                <wp:extent cx="56515" cy="225425"/>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515" cy="225425"/>
                        </a:xfrm>
                        <a:prstGeom prst="rect">
                          <a:avLst/>
                        </a:prstGeom>
                        <a:solidFill>
                          <a:srgbClr val="D9D9D9"/>
                        </a:solidFill>
                      </wps:spPr>
                      <wps:bodyPr/>
                    </wps:wsp>
                  </a:graphicData>
                </a:graphic>
              </wp:anchor>
            </w:drawing>
          </mc:Choice>
          <mc:Fallback>
            <w:pict>
              <v:rect id="Shape 28" o:spid="_x0000_s1053" style="position:absolute;margin-left:58.2pt;margin-top:-11.5499pt;width:4.45pt;height:17.7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6184900</wp:posOffset>
                </wp:positionH>
                <wp:positionV relativeFrom="paragraph">
                  <wp:posOffset>-146685</wp:posOffset>
                </wp:positionV>
                <wp:extent cx="56515" cy="225425"/>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515" cy="225425"/>
                        </a:xfrm>
                        <a:prstGeom prst="rect">
                          <a:avLst/>
                        </a:prstGeom>
                        <a:solidFill>
                          <a:srgbClr val="D9D9D9"/>
                        </a:solidFill>
                      </wps:spPr>
                      <wps:bodyPr/>
                    </wps:wsp>
                  </a:graphicData>
                </a:graphic>
              </wp:anchor>
            </w:drawing>
          </mc:Choice>
          <mc:Fallback>
            <w:pict>
              <v:rect id="Shape 29" o:spid="_x0000_s1054" style="position:absolute;margin-left:487pt;margin-top:-11.5499pt;width:4.45pt;height:17.7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796290</wp:posOffset>
                </wp:positionH>
                <wp:positionV relativeFrom="paragraph">
                  <wp:posOffset>-146050</wp:posOffset>
                </wp:positionV>
                <wp:extent cx="5388610" cy="22479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88610" cy="224790"/>
                        </a:xfrm>
                        <a:prstGeom prst="rect">
                          <a:avLst/>
                        </a:prstGeom>
                        <a:solidFill>
                          <a:srgbClr val="D9D9D9"/>
                        </a:solidFill>
                      </wps:spPr>
                      <wps:bodyPr/>
                    </wps:wsp>
                  </a:graphicData>
                </a:graphic>
              </wp:anchor>
            </w:drawing>
          </mc:Choice>
          <mc:Fallback>
            <w:pict>
              <v:rect id="Shape 30" o:spid="_x0000_s1055" style="position:absolute;margin-left:62.7pt;margin-top:-11.4999pt;width:424.3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w:r>
    </w:p>
    <w:p>
      <w:pPr>
        <w:spacing w:after="0" w:line="82" w:lineRule="exact"/>
        <w:rPr>
          <w:sz w:val="20"/>
          <w:szCs w:val="20"/>
          <w:color w:val="auto"/>
        </w:rPr>
      </w:pPr>
    </w:p>
    <w:tbl>
      <w:tblPr>
        <w:tblLayout w:type="fixed"/>
        <w:tblInd w:w="1160" w:type="dxa"/>
        <w:tblCellMar>
          <w:top w:w="0" w:type="dxa"/>
          <w:left w:w="0" w:type="dxa"/>
          <w:bottom w:w="0" w:type="dxa"/>
          <w:right w:w="0" w:type="dxa"/>
        </w:tblCellMar>
      </w:tblPr>
      <w:tr>
        <w:trPr>
          <w:trHeight w:val="248"/>
        </w:trPr>
        <w:tc>
          <w:tcPr>
            <w:tcW w:w="1100" w:type="dxa"/>
            <w:vAlign w:val="bottom"/>
            <w:tcBorders>
              <w:top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21"/>
                <w:szCs w:val="21"/>
                <w:b w:val="1"/>
                <w:bCs w:val="1"/>
                <w:color w:val="auto"/>
                <w:w w:val="95"/>
              </w:rPr>
              <w:t>NP</w:t>
            </w:r>
          </w:p>
        </w:tc>
        <w:tc>
          <w:tcPr>
            <w:tcW w:w="560" w:type="dxa"/>
            <w:vAlign w:val="bottom"/>
            <w:tcBorders>
              <w:top w:val="single" w:sz="8" w:color="auto"/>
              <w:bottom w:val="single" w:sz="8" w:color="auto"/>
            </w:tcBorders>
          </w:tcPr>
          <w:p>
            <w:pPr>
              <w:spacing w:after="0"/>
              <w:rPr>
                <w:sz w:val="21"/>
                <w:szCs w:val="21"/>
                <w:color w:val="auto"/>
              </w:rPr>
            </w:pPr>
          </w:p>
        </w:tc>
        <w:tc>
          <w:tcPr>
            <w:tcW w:w="4000" w:type="dxa"/>
            <w:vAlign w:val="bottom"/>
            <w:tcBorders>
              <w:top w:val="single" w:sz="8" w:color="auto"/>
              <w:bottom w:val="single" w:sz="8" w:color="auto"/>
              <w:right w:val="single" w:sz="8" w:color="auto"/>
            </w:tcBorders>
          </w:tcPr>
          <w:p>
            <w:pPr>
              <w:ind w:left="640"/>
              <w:spacing w:after="0"/>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top w:val="single" w:sz="8" w:color="auto"/>
              <w:bottom w:val="single" w:sz="8" w:color="auto"/>
            </w:tcBorders>
          </w:tcPr>
          <w:p>
            <w:pPr>
              <w:ind w:left="980"/>
              <w:spacing w:after="0"/>
              <w:rPr>
                <w:sz w:val="20"/>
                <w:szCs w:val="20"/>
                <w:color w:val="auto"/>
              </w:rPr>
            </w:pPr>
            <w:r>
              <w:rPr>
                <w:rFonts w:ascii="Arial" w:cs="Arial" w:eastAsia="Arial" w:hAnsi="Arial"/>
                <w:sz w:val="21"/>
                <w:szCs w:val="21"/>
                <w:b w:val="1"/>
                <w:bCs w:val="1"/>
                <w:color w:val="auto"/>
              </w:rPr>
              <w:t>Código HS</w:t>
            </w:r>
          </w:p>
        </w:tc>
        <w:tc>
          <w:tcPr>
            <w:tcW w:w="0" w:type="dxa"/>
            <w:vAlign w:val="bottom"/>
          </w:tcPr>
          <w:p>
            <w:pPr>
              <w:spacing w:after="0"/>
              <w:rPr>
                <w:sz w:val="1"/>
                <w:szCs w:val="1"/>
                <w:color w:val="auto"/>
              </w:rPr>
            </w:pPr>
          </w:p>
        </w:tc>
      </w:tr>
      <w:tr>
        <w:trPr>
          <w:trHeight w:val="209"/>
        </w:trPr>
        <w:tc>
          <w:tcPr>
            <w:tcW w:w="110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gridSpan w:val="2"/>
          </w:tcPr>
          <w:p>
            <w:pPr>
              <w:ind w:left="80"/>
              <w:spacing w:after="0" w:line="209" w:lineRule="exact"/>
              <w:rPr>
                <w:sz w:val="20"/>
                <w:szCs w:val="20"/>
                <w:color w:val="auto"/>
              </w:rPr>
            </w:pPr>
            <w:r>
              <w:rPr>
                <w:rFonts w:ascii="Arial" w:cs="Arial" w:eastAsia="Arial" w:hAnsi="Arial"/>
                <w:sz w:val="21"/>
                <w:szCs w:val="21"/>
                <w:color w:val="auto"/>
              </w:rPr>
              <w:t>Móveis domésticos, escolares, médicos</w:t>
            </w:r>
          </w:p>
        </w:tc>
        <w:tc>
          <w:tcPr>
            <w:tcW w:w="3020" w:type="dxa"/>
            <w:vAlign w:val="bottom"/>
          </w:tcPr>
          <w:p>
            <w:pPr>
              <w:ind w:left="80"/>
              <w:spacing w:after="0" w:line="209" w:lineRule="exact"/>
              <w:rPr>
                <w:sz w:val="20"/>
                <w:szCs w:val="20"/>
                <w:color w:val="auto"/>
              </w:rPr>
            </w:pPr>
            <w:r>
              <w:rPr>
                <w:rFonts w:ascii="Arial" w:cs="Arial" w:eastAsia="Arial" w:hAnsi="Arial"/>
                <w:sz w:val="21"/>
                <w:szCs w:val="21"/>
                <w:color w:val="auto"/>
              </w:rPr>
              <w:t>8302,8303, 9401,9402,</w:t>
            </w: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e de escritório incluindo, os descritos nos</w:t>
            </w:r>
          </w:p>
        </w:tc>
        <w:tc>
          <w:tcPr>
            <w:tcW w:w="3020" w:type="dxa"/>
            <w:vAlign w:val="bottom"/>
          </w:tcPr>
          <w:p>
            <w:pPr>
              <w:ind w:left="80"/>
              <w:spacing w:after="0" w:line="238" w:lineRule="exact"/>
              <w:rPr>
                <w:sz w:val="20"/>
                <w:szCs w:val="20"/>
                <w:color w:val="auto"/>
              </w:rPr>
            </w:pPr>
            <w:r>
              <w:rPr>
                <w:rFonts w:ascii="Arial" w:cs="Arial" w:eastAsia="Arial" w:hAnsi="Arial"/>
                <w:sz w:val="21"/>
                <w:szCs w:val="21"/>
                <w:color w:val="auto"/>
              </w:rPr>
              <w:t>9403,9404</w:t>
            </w: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códigos HS: 8302 - Dobradiças, rodízios</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e outras montagens e acessórios adequados</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para móveis</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8303</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Caixas e portas fortes, cofre de metal</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comum, etc.</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vMerge w:val="restart"/>
          </w:tcPr>
          <w:p>
            <w:pPr>
              <w:jc w:val="center"/>
              <w:spacing w:after="0"/>
              <w:rPr>
                <w:sz w:val="20"/>
                <w:szCs w:val="20"/>
                <w:color w:val="auto"/>
              </w:rPr>
            </w:pPr>
            <w:r>
              <w:rPr>
                <w:rFonts w:ascii="Arial" w:cs="Arial" w:eastAsia="Arial" w:hAnsi="Arial"/>
                <w:sz w:val="21"/>
                <w:szCs w:val="21"/>
                <w:b w:val="1"/>
                <w:bCs w:val="1"/>
                <w:color w:val="auto"/>
                <w:w w:val="88"/>
              </w:rPr>
              <w:t>VIII -01</w:t>
            </w: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9401</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Assentos e suas partes, transformáveis</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vMerge w:val="continue"/>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ou não em camas</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9402</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Móvel médico, cirúrgico, etc.</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9403</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Outros móveis e suas partes, por ex.</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móveis de metal para escritórios, móveis de</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madeira para escritórios, cozinha, dormitório,</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móveis de plástico, etc.</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00" w:type="dxa"/>
            <w:vAlign w:val="bottom"/>
            <w:tcBorders>
              <w:bottom w:val="single" w:sz="8" w:color="auto"/>
              <w:right w:val="single" w:sz="8" w:color="auto"/>
            </w:tcBorders>
          </w:tcPr>
          <w:p>
            <w:pPr>
              <w:spacing w:after="0"/>
              <w:rPr>
                <w:sz w:val="22"/>
                <w:szCs w:val="22"/>
                <w:color w:val="auto"/>
              </w:rPr>
            </w:pPr>
          </w:p>
        </w:tc>
        <w:tc>
          <w:tcPr>
            <w:tcW w:w="560" w:type="dxa"/>
            <w:vAlign w:val="bottom"/>
            <w:tcBorders>
              <w:bottom w:val="single" w:sz="8" w:color="auto"/>
            </w:tcBorders>
          </w:tcPr>
          <w:p>
            <w:pPr>
              <w:ind w:left="80"/>
              <w:spacing w:after="0"/>
              <w:rPr>
                <w:sz w:val="20"/>
                <w:szCs w:val="20"/>
                <w:color w:val="auto"/>
              </w:rPr>
            </w:pPr>
            <w:r>
              <w:rPr>
                <w:rFonts w:ascii="Arial" w:cs="Arial" w:eastAsia="Arial" w:hAnsi="Arial"/>
                <w:sz w:val="21"/>
                <w:szCs w:val="21"/>
                <w:color w:val="auto"/>
                <w:w w:val="98"/>
              </w:rPr>
              <w:t>9404</w:t>
            </w:r>
          </w:p>
        </w:tc>
        <w:tc>
          <w:tcPr>
            <w:tcW w:w="400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21"/>
                <w:szCs w:val="21"/>
                <w:color w:val="auto"/>
              </w:rPr>
              <w:t>- Suportes de colchão</w:t>
            </w:r>
          </w:p>
        </w:tc>
        <w:tc>
          <w:tcPr>
            <w:tcW w:w="302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75"/>
        </w:trPr>
        <w:tc>
          <w:tcPr>
            <w:tcW w:w="1100" w:type="dxa"/>
            <w:vAlign w:val="bottom"/>
          </w:tcPr>
          <w:p>
            <w:pPr>
              <w:spacing w:after="0"/>
              <w:rPr>
                <w:sz w:val="23"/>
                <w:szCs w:val="23"/>
                <w:color w:val="auto"/>
              </w:rPr>
            </w:pPr>
          </w:p>
        </w:tc>
        <w:tc>
          <w:tcPr>
            <w:tcW w:w="7580" w:type="dxa"/>
            <w:vAlign w:val="bottom"/>
            <w:gridSpan w:val="3"/>
          </w:tcPr>
          <w:p>
            <w:pPr>
              <w:ind w:left="20"/>
              <w:spacing w:after="0"/>
              <w:rPr>
                <w:sz w:val="20"/>
                <w:szCs w:val="20"/>
                <w:color w:val="auto"/>
              </w:rPr>
            </w:pPr>
            <w:r>
              <w:rPr>
                <w:rFonts w:ascii="Arial" w:cs="Arial" w:eastAsia="Arial" w:hAnsi="Arial"/>
                <w:sz w:val="21"/>
                <w:szCs w:val="21"/>
                <w:b w:val="1"/>
                <w:bCs w:val="1"/>
                <w:color w:val="auto"/>
              </w:rPr>
              <w:t>Grupo IX – Utensílios de cozinha, louças e produtos relacionados</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739140</wp:posOffset>
                </wp:positionH>
                <wp:positionV relativeFrom="paragraph">
                  <wp:posOffset>-181610</wp:posOffset>
                </wp:positionV>
                <wp:extent cx="56515" cy="226695"/>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515" cy="226695"/>
                        </a:xfrm>
                        <a:prstGeom prst="rect">
                          <a:avLst/>
                        </a:prstGeom>
                        <a:solidFill>
                          <a:srgbClr val="D9D9D9"/>
                        </a:solidFill>
                      </wps:spPr>
                      <wps:bodyPr/>
                    </wps:wsp>
                  </a:graphicData>
                </a:graphic>
              </wp:anchor>
            </w:drawing>
          </mc:Choice>
          <mc:Fallback>
            <w:pict>
              <v:rect id="Shape 31" o:spid="_x0000_s1056" style="position:absolute;margin-left:58.2pt;margin-top:-14.2999pt;width:4.45pt;height:17.8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6184900</wp:posOffset>
                </wp:positionH>
                <wp:positionV relativeFrom="paragraph">
                  <wp:posOffset>-181610</wp:posOffset>
                </wp:positionV>
                <wp:extent cx="56515" cy="226695"/>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515" cy="226695"/>
                        </a:xfrm>
                        <a:prstGeom prst="rect">
                          <a:avLst/>
                        </a:prstGeom>
                        <a:solidFill>
                          <a:srgbClr val="D9D9D9"/>
                        </a:solidFill>
                      </wps:spPr>
                      <wps:bodyPr/>
                    </wps:wsp>
                  </a:graphicData>
                </a:graphic>
              </wp:anchor>
            </w:drawing>
          </mc:Choice>
          <mc:Fallback>
            <w:pict>
              <v:rect id="Shape 32" o:spid="_x0000_s1057" style="position:absolute;margin-left:487pt;margin-top:-14.2999pt;width:4.45pt;height:17.8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796290</wp:posOffset>
                </wp:positionH>
                <wp:positionV relativeFrom="paragraph">
                  <wp:posOffset>-180975</wp:posOffset>
                </wp:positionV>
                <wp:extent cx="5388610" cy="22606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88610" cy="226060"/>
                        </a:xfrm>
                        <a:prstGeom prst="rect">
                          <a:avLst/>
                        </a:prstGeom>
                        <a:solidFill>
                          <a:srgbClr val="D9D9D9"/>
                        </a:solidFill>
                      </wps:spPr>
                      <wps:bodyPr/>
                    </wps:wsp>
                  </a:graphicData>
                </a:graphic>
              </wp:anchor>
            </w:drawing>
          </mc:Choice>
          <mc:Fallback>
            <w:pict>
              <v:rect id="Shape 33" o:spid="_x0000_s1058" style="position:absolute;margin-left:62.7pt;margin-top:-14.2499pt;width:424.3pt;height:17.8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w:r>
    </w:p>
    <w:p>
      <w:pPr>
        <w:spacing w:after="0" w:line="30" w:lineRule="exact"/>
        <w:rPr>
          <w:sz w:val="20"/>
          <w:szCs w:val="20"/>
          <w:color w:val="auto"/>
        </w:rPr>
      </w:pPr>
    </w:p>
    <w:tbl>
      <w:tblPr>
        <w:tblLayout w:type="fixed"/>
        <w:tblInd w:w="1160" w:type="dxa"/>
        <w:tblCellMar>
          <w:top w:w="0" w:type="dxa"/>
          <w:left w:w="0" w:type="dxa"/>
          <w:bottom w:w="0" w:type="dxa"/>
          <w:right w:w="0" w:type="dxa"/>
        </w:tblCellMar>
      </w:tblPr>
      <w:tr>
        <w:trPr>
          <w:trHeight w:val="248"/>
        </w:trPr>
        <w:tc>
          <w:tcPr>
            <w:tcW w:w="1100" w:type="dxa"/>
            <w:vAlign w:val="bottom"/>
            <w:tcBorders>
              <w:top w:val="single" w:sz="8" w:color="auto"/>
              <w:bottom w:val="single" w:sz="8" w:color="auto"/>
              <w:right w:val="single" w:sz="8" w:color="auto"/>
            </w:tcBorders>
          </w:tcPr>
          <w:p>
            <w:pPr>
              <w:ind w:left="400"/>
              <w:spacing w:after="0"/>
              <w:rPr>
                <w:sz w:val="20"/>
                <w:szCs w:val="20"/>
                <w:color w:val="auto"/>
              </w:rPr>
            </w:pPr>
            <w:r>
              <w:rPr>
                <w:rFonts w:ascii="Arial" w:cs="Arial" w:eastAsia="Arial" w:hAnsi="Arial"/>
                <w:sz w:val="21"/>
                <w:szCs w:val="21"/>
                <w:b w:val="1"/>
                <w:bCs w:val="1"/>
                <w:color w:val="auto"/>
              </w:rPr>
              <w:t>NP</w:t>
            </w:r>
          </w:p>
        </w:tc>
        <w:tc>
          <w:tcPr>
            <w:tcW w:w="4560" w:type="dxa"/>
            <w:vAlign w:val="bottom"/>
            <w:tcBorders>
              <w:top w:val="single" w:sz="8" w:color="auto"/>
              <w:bottom w:val="single" w:sz="8" w:color="auto"/>
              <w:right w:val="single" w:sz="8" w:color="auto"/>
            </w:tcBorders>
          </w:tcPr>
          <w:p>
            <w:pPr>
              <w:ind w:left="1200"/>
              <w:spacing w:after="0"/>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top w:val="single" w:sz="8" w:color="auto"/>
              <w:bottom w:val="single" w:sz="8" w:color="auto"/>
            </w:tcBorders>
          </w:tcPr>
          <w:p>
            <w:pPr>
              <w:ind w:left="980"/>
              <w:spacing w:after="0"/>
              <w:rPr>
                <w:sz w:val="20"/>
                <w:szCs w:val="20"/>
                <w:color w:val="auto"/>
              </w:rPr>
            </w:pPr>
            <w:r>
              <w:rPr>
                <w:rFonts w:ascii="Arial" w:cs="Arial" w:eastAsia="Arial" w:hAnsi="Arial"/>
                <w:sz w:val="21"/>
                <w:szCs w:val="21"/>
                <w:b w:val="1"/>
                <w:bCs w:val="1"/>
                <w:color w:val="auto"/>
              </w:rPr>
              <w:t>Código HS</w:t>
            </w:r>
          </w:p>
        </w:tc>
      </w:tr>
      <w:tr>
        <w:trPr>
          <w:trHeight w:val="208"/>
        </w:trPr>
        <w:tc>
          <w:tcPr>
            <w:tcW w:w="110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Louça, talheres e utensílios de cozinha</w:t>
            </w:r>
          </w:p>
        </w:tc>
        <w:tc>
          <w:tcPr>
            <w:tcW w:w="3020" w:type="dxa"/>
            <w:vAlign w:val="bottom"/>
          </w:tcPr>
          <w:p>
            <w:pPr>
              <w:ind w:left="80"/>
              <w:spacing w:after="0" w:line="208" w:lineRule="exact"/>
              <w:rPr>
                <w:sz w:val="20"/>
                <w:szCs w:val="20"/>
                <w:color w:val="auto"/>
              </w:rPr>
            </w:pPr>
            <w:r>
              <w:rPr>
                <w:rFonts w:ascii="Arial" w:cs="Arial" w:eastAsia="Arial" w:hAnsi="Arial"/>
                <w:sz w:val="21"/>
                <w:szCs w:val="21"/>
                <w:color w:val="auto"/>
              </w:rPr>
              <w:t>"3924.10,4419,6911,6912,</w:t>
            </w: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vários materiais, incluindo,</w:t>
            </w:r>
          </w:p>
        </w:tc>
        <w:tc>
          <w:tcPr>
            <w:tcW w:w="3020" w:type="dxa"/>
            <w:vAlign w:val="bottom"/>
          </w:tcPr>
          <w:p>
            <w:pPr>
              <w:ind w:left="80"/>
              <w:spacing w:after="0" w:line="238" w:lineRule="exact"/>
              <w:rPr>
                <w:sz w:val="20"/>
                <w:szCs w:val="20"/>
                <w:color w:val="auto"/>
              </w:rPr>
            </w:pPr>
            <w:r>
              <w:rPr>
                <w:rFonts w:ascii="Arial" w:cs="Arial" w:eastAsia="Arial" w:hAnsi="Arial"/>
                <w:sz w:val="21"/>
                <w:szCs w:val="21"/>
                <w:color w:val="auto"/>
              </w:rPr>
              <w:t>7013,7114,7323,7418.10,</w:t>
            </w:r>
          </w:p>
        </w:tc>
      </w:tr>
      <w:tr>
        <w:trPr>
          <w:trHeight w:val="243"/>
        </w:trPr>
        <w:tc>
          <w:tcPr>
            <w:tcW w:w="1100" w:type="dxa"/>
            <w:vAlign w:val="bottom"/>
            <w:tcBorders>
              <w:right w:val="single" w:sz="8" w:color="auto"/>
            </w:tcBorders>
          </w:tcPr>
          <w:p>
            <w:pPr>
              <w:spacing w:after="0"/>
              <w:rPr>
                <w:sz w:val="21"/>
                <w:szCs w:val="21"/>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 Os materiais são plásticos, madeira,</w:t>
            </w:r>
          </w:p>
        </w:tc>
        <w:tc>
          <w:tcPr>
            <w:tcW w:w="3020" w:type="dxa"/>
            <w:vAlign w:val="bottom"/>
          </w:tcPr>
          <w:p>
            <w:pPr>
              <w:ind w:left="80"/>
              <w:spacing w:after="0"/>
              <w:rPr>
                <w:sz w:val="20"/>
                <w:szCs w:val="20"/>
                <w:color w:val="auto"/>
              </w:rPr>
            </w:pPr>
            <w:r>
              <w:rPr>
                <w:rFonts w:ascii="Arial" w:cs="Arial" w:eastAsia="Arial" w:hAnsi="Arial"/>
                <w:sz w:val="21"/>
                <w:szCs w:val="21"/>
                <w:color w:val="auto"/>
              </w:rPr>
              <w:t>7615.10, 8215"</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-431165</wp:posOffset>
            </wp:positionH>
            <wp:positionV relativeFrom="paragraph">
              <wp:posOffset>2822575</wp:posOffset>
            </wp:positionV>
            <wp:extent cx="4763" cy="4763"/>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extLst>
                    </a:blip>
                    <a:srcRect/>
                    <a:stretch>
                      <a:fillRect/>
                    </a:stretch>
                  </pic:blipFill>
                  <pic:spPr bwMode="auto">
                    <a:xfrm>
                      <a:off x="0" y="0"/>
                      <a:ext cx="4763" cy="4763"/>
                    </a:xfrm>
                    <a:prstGeom prst="rect">
                      <a:avLst/>
                    </a:prstGeom>
                    <a:noFill/>
                  </pic:spPr>
                </pic:pic>
              </a:graphicData>
            </a:graphic>
          </wp:anchor>
        </w:drawing>
      </w:r>
    </w:p>
    <w:p>
      <w:pPr>
        <w:sectPr>
          <w:pgSz w:w="11900" w:h="16838" w:orient="portrait"/>
          <w:cols w:equalWidth="0" w:num="1">
            <w:col w:w="10520"/>
          </w:cols>
          <w:pgMar w:left="680" w:top="803" w:right="706" w:bottom="1440" w:gutter="0" w:footer="0" w:header="0"/>
        </w:sectPr>
      </w:pPr>
    </w:p>
    <w:bookmarkStart w:id="18" w:name="page19"/>
    <w:bookmarkEnd w:id="18"/>
    <w:tbl>
      <w:tblPr>
        <w:tblLayout w:type="fixed"/>
        <w:tblInd w:w="0" w:type="dxa"/>
        <w:tblCellMar>
          <w:top w:w="0" w:type="dxa"/>
          <w:left w:w="0" w:type="dxa"/>
          <w:bottom w:w="0" w:type="dxa"/>
          <w:right w:w="0" w:type="dxa"/>
        </w:tblCellMar>
      </w:tblPr>
      <w:tr>
        <w:trPr>
          <w:trHeight w:val="230"/>
        </w:trPr>
        <w:tc>
          <w:tcPr>
            <w:tcW w:w="6120" w:type="dxa"/>
            <w:vAlign w:val="bottom"/>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400" w:type="dxa"/>
            <w:vAlign w:val="bottom"/>
          </w:tcPr>
          <w:p>
            <w:pPr>
              <w:jc w:val="right"/>
              <w:spacing w:after="0"/>
              <w:rPr>
                <w:sz w:val="20"/>
                <w:szCs w:val="20"/>
                <w:color w:val="auto"/>
              </w:rPr>
            </w:pPr>
            <w:r>
              <w:rPr>
                <w:rFonts w:ascii="Times New Roman" w:cs="Times New Roman" w:eastAsia="Times New Roman" w:hAnsi="Times New Roman"/>
                <w:sz w:val="20"/>
                <w:szCs w:val="20"/>
                <w:color w:val="auto"/>
              </w:rPr>
              <w:t>363</w:t>
            </w:r>
          </w:p>
        </w:tc>
      </w:tr>
      <w:tr>
        <w:trPr>
          <w:trHeight w:val="40"/>
        </w:trPr>
        <w:tc>
          <w:tcPr>
            <w:tcW w:w="6120" w:type="dxa"/>
            <w:vAlign w:val="bottom"/>
            <w:tcBorders>
              <w:bottom w:val="single" w:sz="8" w:color="auto"/>
            </w:tcBorders>
          </w:tcPr>
          <w:p>
            <w:pPr>
              <w:spacing w:after="0"/>
              <w:rPr>
                <w:sz w:val="3"/>
                <w:szCs w:val="3"/>
                <w:color w:val="auto"/>
              </w:rPr>
            </w:pPr>
          </w:p>
        </w:tc>
        <w:tc>
          <w:tcPr>
            <w:tcW w:w="4400" w:type="dxa"/>
            <w:vAlign w:val="bottom"/>
            <w:tcBorders>
              <w:bottom w:val="single" w:sz="8" w:color="auto"/>
            </w:tcBorders>
          </w:tcPr>
          <w:p>
            <w:pPr>
              <w:spacing w:after="0"/>
              <w:rPr>
                <w:sz w:val="3"/>
                <w:szCs w:val="3"/>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tbl>
      <w:tblPr>
        <w:tblLayout w:type="fixed"/>
        <w:tblInd w:w="1160" w:type="dxa"/>
        <w:tblCellMar>
          <w:top w:w="0" w:type="dxa"/>
          <w:left w:w="0" w:type="dxa"/>
          <w:bottom w:w="0" w:type="dxa"/>
          <w:right w:w="0" w:type="dxa"/>
        </w:tblCellMar>
      </w:tblPr>
      <w:tr>
        <w:trPr>
          <w:trHeight w:val="230"/>
        </w:trPr>
        <w:tc>
          <w:tcPr>
            <w:tcW w:w="980" w:type="dxa"/>
            <w:vAlign w:val="bottom"/>
            <w:tcBorders>
              <w:top w:val="single" w:sz="8" w:color="auto"/>
            </w:tcBorders>
            <w:vMerge w:val="restart"/>
          </w:tcPr>
          <w:p>
            <w:pPr>
              <w:ind w:left="300"/>
              <w:spacing w:after="0"/>
              <w:rPr>
                <w:sz w:val="20"/>
                <w:szCs w:val="20"/>
                <w:color w:val="auto"/>
              </w:rPr>
            </w:pPr>
            <w:r>
              <w:rPr>
                <w:rFonts w:ascii="Arial" w:cs="Arial" w:eastAsia="Arial" w:hAnsi="Arial"/>
                <w:sz w:val="21"/>
                <w:szCs w:val="21"/>
                <w:b w:val="1"/>
                <w:bCs w:val="1"/>
                <w:color w:val="auto"/>
              </w:rPr>
              <w:t>IX-01</w:t>
            </w:r>
          </w:p>
        </w:tc>
        <w:tc>
          <w:tcPr>
            <w:tcW w:w="4660" w:type="dxa"/>
            <w:vAlign w:val="bottom"/>
            <w:tcBorders>
              <w:top w:val="single" w:sz="8" w:color="auto"/>
            </w:tcBorders>
          </w:tcPr>
          <w:p>
            <w:pPr>
              <w:ind w:left="200"/>
              <w:spacing w:after="0" w:line="230" w:lineRule="exact"/>
              <w:rPr>
                <w:sz w:val="20"/>
                <w:szCs w:val="20"/>
                <w:color w:val="auto"/>
              </w:rPr>
            </w:pPr>
            <w:r>
              <w:rPr>
                <w:rFonts w:ascii="Arial" w:cs="Arial" w:eastAsia="Arial" w:hAnsi="Arial"/>
                <w:sz w:val="21"/>
                <w:szCs w:val="21"/>
                <w:color w:val="auto"/>
              </w:rPr>
              <w:t>cerâmica, vidro, metais preciosos, ferro ou aço,</w:t>
            </w:r>
          </w:p>
        </w:tc>
        <w:tc>
          <w:tcPr>
            <w:tcW w:w="3040" w:type="dxa"/>
            <w:vAlign w:val="bottom"/>
            <w:tcBorders>
              <w:top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980" w:type="dxa"/>
            <w:vAlign w:val="bottom"/>
            <w:vMerge w:val="continue"/>
          </w:tcPr>
          <w:p>
            <w:pPr>
              <w:spacing w:after="0"/>
              <w:rPr>
                <w:sz w:val="20"/>
                <w:szCs w:val="20"/>
                <w:color w:val="auto"/>
              </w:rPr>
            </w:pP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cobre e alumínio, respectivamente.</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980" w:type="dxa"/>
            <w:vAlign w:val="bottom"/>
          </w:tcPr>
          <w:p>
            <w:pPr>
              <w:spacing w:after="0"/>
              <w:rPr>
                <w:sz w:val="20"/>
                <w:szCs w:val="20"/>
                <w:color w:val="auto"/>
              </w:rPr>
            </w:pP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 Incluindo esfregões ou esponjas</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980" w:type="dxa"/>
            <w:vAlign w:val="bottom"/>
          </w:tcPr>
          <w:p>
            <w:pPr>
              <w:spacing w:after="0"/>
              <w:rPr>
                <w:sz w:val="20"/>
                <w:szCs w:val="20"/>
                <w:color w:val="auto"/>
              </w:rPr>
            </w:pP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de polimento, luvas, prato, caneca, cestas</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980" w:type="dxa"/>
            <w:vAlign w:val="bottom"/>
            <w:tcBorders>
              <w:bottom w:val="single" w:sz="8" w:color="auto"/>
            </w:tcBorders>
          </w:tcPr>
          <w:p>
            <w:pPr>
              <w:spacing w:after="0"/>
              <w:rPr>
                <w:sz w:val="22"/>
                <w:szCs w:val="22"/>
                <w:color w:val="auto"/>
              </w:rPr>
            </w:pPr>
          </w:p>
        </w:tc>
        <w:tc>
          <w:tcPr>
            <w:tcW w:w="4660" w:type="dxa"/>
            <w:vAlign w:val="bottom"/>
            <w:tcBorders>
              <w:bottom w:val="single" w:sz="8" w:color="auto"/>
            </w:tcBorders>
          </w:tcPr>
          <w:p>
            <w:pPr>
              <w:ind w:left="200"/>
              <w:spacing w:after="0"/>
              <w:rPr>
                <w:sz w:val="20"/>
                <w:szCs w:val="20"/>
                <w:color w:val="auto"/>
              </w:rPr>
            </w:pPr>
            <w:r>
              <w:rPr>
                <w:rFonts w:ascii="Arial" w:cs="Arial" w:eastAsia="Arial" w:hAnsi="Arial"/>
                <w:sz w:val="21"/>
                <w:szCs w:val="21"/>
                <w:color w:val="auto"/>
              </w:rPr>
              <w:t>de frutas, colheres, garfos, frigideiras, etc.</w:t>
            </w:r>
          </w:p>
        </w:tc>
        <w:tc>
          <w:tcPr>
            <w:tcW w:w="304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980" w:type="dxa"/>
            <w:vAlign w:val="bottom"/>
          </w:tcPr>
          <w:p>
            <w:pPr>
              <w:spacing w:after="0"/>
              <w:rPr>
                <w:sz w:val="18"/>
                <w:szCs w:val="18"/>
                <w:color w:val="auto"/>
              </w:rPr>
            </w:pPr>
          </w:p>
        </w:tc>
        <w:tc>
          <w:tcPr>
            <w:tcW w:w="4660" w:type="dxa"/>
            <w:vAlign w:val="bottom"/>
          </w:tcPr>
          <w:p>
            <w:pPr>
              <w:ind w:left="200"/>
              <w:spacing w:after="0" w:line="208" w:lineRule="exact"/>
              <w:rPr>
                <w:sz w:val="20"/>
                <w:szCs w:val="20"/>
                <w:color w:val="auto"/>
              </w:rPr>
            </w:pPr>
            <w:r>
              <w:rPr>
                <w:rFonts w:ascii="Arial" w:cs="Arial" w:eastAsia="Arial" w:hAnsi="Arial"/>
                <w:sz w:val="21"/>
                <w:szCs w:val="21"/>
                <w:color w:val="auto"/>
              </w:rPr>
              <w:t>Facas com lâminas de corte e produtos</w:t>
            </w:r>
          </w:p>
        </w:tc>
        <w:tc>
          <w:tcPr>
            <w:tcW w:w="3040" w:type="dxa"/>
            <w:vAlign w:val="bottom"/>
          </w:tcPr>
          <w:p>
            <w:pPr>
              <w:ind w:left="100"/>
              <w:spacing w:after="0" w:line="208" w:lineRule="exact"/>
              <w:rPr>
                <w:sz w:val="20"/>
                <w:szCs w:val="20"/>
                <w:color w:val="auto"/>
              </w:rPr>
            </w:pPr>
            <w:r>
              <w:rPr>
                <w:rFonts w:ascii="Arial" w:cs="Arial" w:eastAsia="Arial" w:hAnsi="Arial"/>
                <w:sz w:val="21"/>
                <w:szCs w:val="21"/>
                <w:color w:val="auto"/>
              </w:rPr>
              <w:t>8211, 8214</w:t>
            </w:r>
          </w:p>
        </w:tc>
        <w:tc>
          <w:tcPr>
            <w:tcW w:w="0" w:type="dxa"/>
            <w:vAlign w:val="bottom"/>
          </w:tcPr>
          <w:p>
            <w:pPr>
              <w:spacing w:after="0"/>
              <w:rPr>
                <w:sz w:val="1"/>
                <w:szCs w:val="1"/>
                <w:color w:val="auto"/>
              </w:rPr>
            </w:pPr>
          </w:p>
        </w:tc>
      </w:tr>
      <w:tr>
        <w:trPr>
          <w:trHeight w:val="238"/>
        </w:trPr>
        <w:tc>
          <w:tcPr>
            <w:tcW w:w="980" w:type="dxa"/>
            <w:vAlign w:val="bottom"/>
          </w:tcPr>
          <w:p>
            <w:pPr>
              <w:spacing w:after="0"/>
              <w:rPr>
                <w:sz w:val="20"/>
                <w:szCs w:val="20"/>
                <w:color w:val="auto"/>
              </w:rPr>
            </w:pP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semelhantes incluindo, os descritos nos</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980" w:type="dxa"/>
            <w:vAlign w:val="bottom"/>
          </w:tcPr>
          <w:p>
            <w:pPr>
              <w:spacing w:after="0"/>
              <w:rPr>
                <w:sz w:val="20"/>
                <w:szCs w:val="20"/>
                <w:color w:val="auto"/>
              </w:rPr>
            </w:pP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códigos HS:</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980" w:type="dxa"/>
            <w:vAlign w:val="bottom"/>
          </w:tcPr>
          <w:p>
            <w:pPr>
              <w:spacing w:after="0"/>
              <w:rPr>
                <w:sz w:val="20"/>
                <w:szCs w:val="20"/>
                <w:color w:val="auto"/>
              </w:rPr>
            </w:pP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 8211 - Facas não dobráveis de cozinha e de</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980" w:type="dxa"/>
            <w:vAlign w:val="bottom"/>
            <w:vMerge w:val="restart"/>
          </w:tcPr>
          <w:p>
            <w:pPr>
              <w:ind w:left="300"/>
              <w:spacing w:after="0"/>
              <w:rPr>
                <w:sz w:val="20"/>
                <w:szCs w:val="20"/>
                <w:color w:val="auto"/>
              </w:rPr>
            </w:pPr>
            <w:r>
              <w:rPr>
                <w:rFonts w:ascii="Arial" w:cs="Arial" w:eastAsia="Arial" w:hAnsi="Arial"/>
                <w:sz w:val="21"/>
                <w:szCs w:val="21"/>
                <w:b w:val="1"/>
                <w:bCs w:val="1"/>
                <w:color w:val="auto"/>
              </w:rPr>
              <w:t>IX-02</w:t>
            </w: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mesa, facas dobráveis, por exemplo, canivete,</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980" w:type="dxa"/>
            <w:vAlign w:val="bottom"/>
            <w:vMerge w:val="continue"/>
          </w:tcPr>
          <w:p>
            <w:pPr>
              <w:spacing w:after="0"/>
              <w:rPr>
                <w:sz w:val="20"/>
                <w:szCs w:val="20"/>
                <w:color w:val="auto"/>
              </w:rPr>
            </w:pP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etc. tendo ou não lâminas de corte serrilhadas.</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980" w:type="dxa"/>
            <w:vAlign w:val="bottom"/>
            <w:tcBorders>
              <w:bottom w:val="single" w:sz="8" w:color="auto"/>
            </w:tcBorders>
          </w:tcPr>
          <w:p>
            <w:pPr>
              <w:spacing w:after="0"/>
              <w:rPr>
                <w:sz w:val="22"/>
                <w:szCs w:val="22"/>
                <w:color w:val="auto"/>
              </w:rPr>
            </w:pPr>
          </w:p>
        </w:tc>
        <w:tc>
          <w:tcPr>
            <w:tcW w:w="4660" w:type="dxa"/>
            <w:vAlign w:val="bottom"/>
            <w:tcBorders>
              <w:bottom w:val="single" w:sz="8" w:color="auto"/>
            </w:tcBorders>
          </w:tcPr>
          <w:p>
            <w:pPr>
              <w:ind w:left="200"/>
              <w:spacing w:after="0"/>
              <w:rPr>
                <w:sz w:val="20"/>
                <w:szCs w:val="20"/>
                <w:color w:val="auto"/>
              </w:rPr>
            </w:pPr>
            <w:r>
              <w:rPr>
                <w:rFonts w:ascii="Arial" w:cs="Arial" w:eastAsia="Arial" w:hAnsi="Arial"/>
                <w:sz w:val="21"/>
                <w:szCs w:val="21"/>
                <w:color w:val="auto"/>
              </w:rPr>
              <w:t>● 8214 – Cutelos, faca de triturar, etc.</w:t>
            </w:r>
          </w:p>
        </w:tc>
        <w:tc>
          <w:tcPr>
            <w:tcW w:w="304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980" w:type="dxa"/>
            <w:vAlign w:val="bottom"/>
          </w:tcPr>
          <w:p>
            <w:pPr>
              <w:spacing w:after="0"/>
              <w:rPr>
                <w:sz w:val="18"/>
                <w:szCs w:val="18"/>
                <w:color w:val="auto"/>
              </w:rPr>
            </w:pPr>
          </w:p>
        </w:tc>
        <w:tc>
          <w:tcPr>
            <w:tcW w:w="4660" w:type="dxa"/>
            <w:vAlign w:val="bottom"/>
          </w:tcPr>
          <w:p>
            <w:pPr>
              <w:ind w:left="200"/>
              <w:spacing w:after="0" w:line="208" w:lineRule="exact"/>
              <w:rPr>
                <w:sz w:val="20"/>
                <w:szCs w:val="20"/>
                <w:color w:val="auto"/>
              </w:rPr>
            </w:pPr>
            <w:r>
              <w:rPr>
                <w:rFonts w:ascii="Arial" w:cs="Arial" w:eastAsia="Arial" w:hAnsi="Arial"/>
                <w:sz w:val="21"/>
                <w:szCs w:val="21"/>
                <w:color w:val="auto"/>
              </w:rPr>
              <w:t>Frascos de vácuo e produtos semelhantes</w:t>
            </w:r>
          </w:p>
        </w:tc>
        <w:tc>
          <w:tcPr>
            <w:tcW w:w="3040" w:type="dxa"/>
            <w:vAlign w:val="bottom"/>
          </w:tcPr>
          <w:p>
            <w:pPr>
              <w:ind w:left="100"/>
              <w:spacing w:after="0" w:line="208" w:lineRule="exact"/>
              <w:rPr>
                <w:sz w:val="20"/>
                <w:szCs w:val="20"/>
                <w:color w:val="auto"/>
              </w:rPr>
            </w:pPr>
            <w:r>
              <w:rPr>
                <w:rFonts w:ascii="Arial" w:cs="Arial" w:eastAsia="Arial" w:hAnsi="Arial"/>
                <w:sz w:val="21"/>
                <w:szCs w:val="21"/>
                <w:color w:val="auto"/>
              </w:rPr>
              <w:t>9617</w:t>
            </w:r>
          </w:p>
        </w:tc>
        <w:tc>
          <w:tcPr>
            <w:tcW w:w="0" w:type="dxa"/>
            <w:vAlign w:val="bottom"/>
          </w:tcPr>
          <w:p>
            <w:pPr>
              <w:spacing w:after="0"/>
              <w:rPr>
                <w:sz w:val="1"/>
                <w:szCs w:val="1"/>
                <w:color w:val="auto"/>
              </w:rPr>
            </w:pPr>
          </w:p>
        </w:tc>
      </w:tr>
      <w:tr>
        <w:trPr>
          <w:trHeight w:val="238"/>
        </w:trPr>
        <w:tc>
          <w:tcPr>
            <w:tcW w:w="980" w:type="dxa"/>
            <w:vAlign w:val="bottom"/>
            <w:vMerge w:val="restart"/>
          </w:tcPr>
          <w:p>
            <w:pPr>
              <w:ind w:left="300"/>
              <w:spacing w:after="0"/>
              <w:rPr>
                <w:sz w:val="20"/>
                <w:szCs w:val="20"/>
                <w:color w:val="auto"/>
              </w:rPr>
            </w:pPr>
            <w:r>
              <w:rPr>
                <w:rFonts w:ascii="Arial" w:cs="Arial" w:eastAsia="Arial" w:hAnsi="Arial"/>
                <w:sz w:val="21"/>
                <w:szCs w:val="21"/>
                <w:b w:val="1"/>
                <w:bCs w:val="1"/>
                <w:color w:val="auto"/>
              </w:rPr>
              <w:t>IX-03</w:t>
            </w: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Esses artigos são usados para manter líquidos,</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980" w:type="dxa"/>
            <w:vAlign w:val="bottom"/>
            <w:vMerge w:val="continue"/>
          </w:tcPr>
          <w:p>
            <w:pPr>
              <w:spacing w:after="0"/>
              <w:rPr>
                <w:sz w:val="20"/>
                <w:szCs w:val="20"/>
                <w:color w:val="auto"/>
              </w:rPr>
            </w:pP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alimentos ou outros produtos a uma</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980" w:type="dxa"/>
            <w:vAlign w:val="bottom"/>
          </w:tcPr>
          <w:p>
            <w:pPr>
              <w:spacing w:after="0"/>
              <w:rPr>
                <w:sz w:val="20"/>
                <w:szCs w:val="20"/>
                <w:color w:val="auto"/>
              </w:rPr>
            </w:pP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temperatura razoavelmente constante por</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980" w:type="dxa"/>
            <w:vAlign w:val="bottom"/>
            <w:tcBorders>
              <w:bottom w:val="single" w:sz="8" w:color="auto"/>
            </w:tcBorders>
          </w:tcPr>
          <w:p>
            <w:pPr>
              <w:spacing w:after="0"/>
              <w:rPr>
                <w:sz w:val="22"/>
                <w:szCs w:val="22"/>
                <w:color w:val="auto"/>
              </w:rPr>
            </w:pPr>
          </w:p>
        </w:tc>
        <w:tc>
          <w:tcPr>
            <w:tcW w:w="4660" w:type="dxa"/>
            <w:vAlign w:val="bottom"/>
            <w:tcBorders>
              <w:bottom w:val="single" w:sz="8" w:color="auto"/>
            </w:tcBorders>
          </w:tcPr>
          <w:p>
            <w:pPr>
              <w:ind w:left="200"/>
              <w:spacing w:after="0"/>
              <w:rPr>
                <w:sz w:val="20"/>
                <w:szCs w:val="20"/>
                <w:color w:val="auto"/>
              </w:rPr>
            </w:pPr>
            <w:r>
              <w:rPr>
                <w:rFonts w:ascii="Arial" w:cs="Arial" w:eastAsia="Arial" w:hAnsi="Arial"/>
                <w:sz w:val="21"/>
                <w:szCs w:val="21"/>
                <w:color w:val="auto"/>
              </w:rPr>
              <w:t>períodos de tempo razoáveis.</w:t>
            </w:r>
          </w:p>
        </w:tc>
        <w:tc>
          <w:tcPr>
            <w:tcW w:w="304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980" w:type="dxa"/>
            <w:vAlign w:val="bottom"/>
          </w:tcPr>
          <w:p>
            <w:pPr>
              <w:spacing w:after="0"/>
              <w:rPr>
                <w:sz w:val="18"/>
                <w:szCs w:val="18"/>
                <w:color w:val="auto"/>
              </w:rPr>
            </w:pPr>
          </w:p>
        </w:tc>
        <w:tc>
          <w:tcPr>
            <w:tcW w:w="4660" w:type="dxa"/>
            <w:vAlign w:val="bottom"/>
          </w:tcPr>
          <w:p>
            <w:pPr>
              <w:ind w:left="200"/>
              <w:spacing w:after="0" w:line="208" w:lineRule="exact"/>
              <w:rPr>
                <w:sz w:val="20"/>
                <w:szCs w:val="20"/>
                <w:color w:val="auto"/>
              </w:rPr>
            </w:pPr>
            <w:r>
              <w:rPr>
                <w:rFonts w:ascii="Arial" w:cs="Arial" w:eastAsia="Arial" w:hAnsi="Arial"/>
                <w:sz w:val="21"/>
                <w:szCs w:val="21"/>
                <w:color w:val="auto"/>
              </w:rPr>
              <w:t>Material de embalagem para produtos</w:t>
            </w:r>
          </w:p>
        </w:tc>
        <w:tc>
          <w:tcPr>
            <w:tcW w:w="3040" w:type="dxa"/>
            <w:vAlign w:val="bottom"/>
          </w:tcPr>
          <w:p>
            <w:pPr>
              <w:ind w:left="100"/>
              <w:spacing w:after="0" w:line="208" w:lineRule="exact"/>
              <w:rPr>
                <w:sz w:val="20"/>
                <w:szCs w:val="20"/>
                <w:color w:val="auto"/>
              </w:rPr>
            </w:pPr>
            <w:r>
              <w:rPr>
                <w:rFonts w:ascii="Arial" w:cs="Arial" w:eastAsia="Arial" w:hAnsi="Arial"/>
                <w:sz w:val="21"/>
                <w:szCs w:val="21"/>
                <w:color w:val="auto"/>
              </w:rPr>
              <w:t>"3920, 3923.21,3926.90,</w:t>
            </w:r>
          </w:p>
        </w:tc>
        <w:tc>
          <w:tcPr>
            <w:tcW w:w="0" w:type="dxa"/>
            <w:vAlign w:val="bottom"/>
          </w:tcPr>
          <w:p>
            <w:pPr>
              <w:spacing w:after="0"/>
              <w:rPr>
                <w:sz w:val="1"/>
                <w:szCs w:val="1"/>
                <w:color w:val="auto"/>
              </w:rPr>
            </w:pPr>
          </w:p>
        </w:tc>
      </w:tr>
      <w:tr>
        <w:trPr>
          <w:trHeight w:val="238"/>
        </w:trPr>
        <w:tc>
          <w:tcPr>
            <w:tcW w:w="980" w:type="dxa"/>
            <w:vAlign w:val="bottom"/>
          </w:tcPr>
          <w:p>
            <w:pPr>
              <w:spacing w:after="0"/>
              <w:rPr>
                <w:sz w:val="20"/>
                <w:szCs w:val="20"/>
                <w:color w:val="auto"/>
              </w:rPr>
            </w:pP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alimentícios incluindo, os descritos nos códigos</w:t>
            </w:r>
          </w:p>
        </w:tc>
        <w:tc>
          <w:tcPr>
            <w:tcW w:w="3040" w:type="dxa"/>
            <w:vAlign w:val="bottom"/>
          </w:tcPr>
          <w:p>
            <w:pPr>
              <w:ind w:left="100"/>
              <w:spacing w:after="0" w:line="238" w:lineRule="exact"/>
              <w:rPr>
                <w:sz w:val="20"/>
                <w:szCs w:val="20"/>
                <w:color w:val="auto"/>
              </w:rPr>
            </w:pPr>
            <w:r>
              <w:rPr>
                <w:rFonts w:ascii="Arial" w:cs="Arial" w:eastAsia="Arial" w:hAnsi="Arial"/>
                <w:sz w:val="21"/>
                <w:szCs w:val="21"/>
                <w:color w:val="auto"/>
              </w:rPr>
              <w:t>7607.11,7607.19"</w:t>
            </w:r>
          </w:p>
        </w:tc>
        <w:tc>
          <w:tcPr>
            <w:tcW w:w="0" w:type="dxa"/>
            <w:vAlign w:val="bottom"/>
          </w:tcPr>
          <w:p>
            <w:pPr>
              <w:spacing w:after="0"/>
              <w:rPr>
                <w:sz w:val="1"/>
                <w:szCs w:val="1"/>
                <w:color w:val="auto"/>
              </w:rPr>
            </w:pPr>
          </w:p>
        </w:tc>
      </w:tr>
      <w:tr>
        <w:trPr>
          <w:trHeight w:val="238"/>
        </w:trPr>
        <w:tc>
          <w:tcPr>
            <w:tcW w:w="980" w:type="dxa"/>
            <w:vAlign w:val="bottom"/>
          </w:tcPr>
          <w:p>
            <w:pPr>
              <w:spacing w:after="0"/>
              <w:rPr>
                <w:sz w:val="20"/>
                <w:szCs w:val="20"/>
                <w:color w:val="auto"/>
              </w:rPr>
            </w:pPr>
          </w:p>
        </w:tc>
        <w:tc>
          <w:tcPr>
            <w:tcW w:w="4660" w:type="dxa"/>
            <w:vAlign w:val="bottom"/>
          </w:tcPr>
          <w:p>
            <w:pPr>
              <w:ind w:left="200"/>
              <w:spacing w:after="0" w:line="238" w:lineRule="exact"/>
              <w:rPr>
                <w:sz w:val="20"/>
                <w:szCs w:val="20"/>
                <w:color w:val="auto"/>
              </w:rPr>
            </w:pPr>
            <w:r>
              <w:rPr>
                <w:rFonts w:ascii="Arial" w:cs="Arial" w:eastAsia="Arial" w:hAnsi="Arial"/>
                <w:sz w:val="21"/>
                <w:szCs w:val="21"/>
                <w:color w:val="auto"/>
              </w:rPr>
              <w:t>HS:</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736600</wp:posOffset>
                </wp:positionH>
                <wp:positionV relativeFrom="paragraph">
                  <wp:posOffset>-3029585</wp:posOffset>
                </wp:positionV>
                <wp:extent cx="0" cy="667766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677660"/>
                        </a:xfrm>
                        <a:prstGeom prst="line">
                          <a:avLst/>
                        </a:prstGeom>
                        <a:solidFill>
                          <a:srgbClr val="FFFFFF"/>
                        </a:solidFill>
                        <a:ln w="5257">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8pt,-238.5499pt" to="58pt,287.25pt" o:allowincell="f" strokecolor="#000000" strokeweight="0.4139pt"/>
            </w:pict>
          </mc:Fallback>
        </mc:AlternateContent>
        <mc:AlternateContent>
          <mc:Choice Requires="wps">
            <w:drawing>
              <wp:anchor simplePos="0" relativeHeight="251657728" behindDoc="1" locked="0" layoutInCell="0" allowOverlap="1">
                <wp:simplePos x="0" y="0"/>
                <wp:positionH relativeFrom="column">
                  <wp:posOffset>1423035</wp:posOffset>
                </wp:positionH>
                <wp:positionV relativeFrom="paragraph">
                  <wp:posOffset>-3029585</wp:posOffset>
                </wp:positionV>
                <wp:extent cx="0" cy="4556125"/>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556125"/>
                        </a:xfrm>
                        <a:prstGeom prst="line">
                          <a:avLst/>
                        </a:prstGeom>
                        <a:solidFill>
                          <a:srgbClr val="FFFFFF"/>
                        </a:solidFill>
                        <a:ln w="5245">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2.05pt,-238.5499pt" to="112.05pt,120.2pt" o:allowincell="f" strokecolor="#000000" strokeweight="0.413pt"/>
            </w:pict>
          </mc:Fallback>
        </mc:AlternateContent>
        <mc:AlternateContent>
          <mc:Choice Requires="wps">
            <w:drawing>
              <wp:anchor simplePos="0" relativeHeight="251657728" behindDoc="1" locked="0" layoutInCell="0" allowOverlap="1">
                <wp:simplePos x="0" y="0"/>
                <wp:positionH relativeFrom="column">
                  <wp:posOffset>4320540</wp:posOffset>
                </wp:positionH>
                <wp:positionV relativeFrom="paragraph">
                  <wp:posOffset>-3029585</wp:posOffset>
                </wp:positionV>
                <wp:extent cx="0" cy="4556125"/>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556125"/>
                        </a:xfrm>
                        <a:prstGeom prst="line">
                          <a:avLst/>
                        </a:prstGeom>
                        <a:solidFill>
                          <a:srgbClr val="FFFFFF"/>
                        </a:solidFill>
                        <a:ln w="5257">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0.2pt,-238.5499pt" to="340.2pt,120.2pt" o:allowincell="f" strokecolor="#000000" strokeweight="0.4139pt"/>
            </w:pict>
          </mc:Fallback>
        </mc:AlternateContent>
        <mc:AlternateContent>
          <mc:Choice Requires="wps">
            <w:drawing>
              <wp:anchor simplePos="0" relativeHeight="251657728" behindDoc="1" locked="0" layoutInCell="0" allowOverlap="1">
                <wp:simplePos x="0" y="0"/>
                <wp:positionH relativeFrom="column">
                  <wp:posOffset>6243955</wp:posOffset>
                </wp:positionH>
                <wp:positionV relativeFrom="paragraph">
                  <wp:posOffset>-3029585</wp:posOffset>
                </wp:positionV>
                <wp:extent cx="0" cy="667766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677660"/>
                        </a:xfrm>
                        <a:prstGeom prst="line">
                          <a:avLst/>
                        </a:prstGeom>
                        <a:solidFill>
                          <a:srgbClr val="FFFFFF"/>
                        </a:solidFill>
                        <a:ln w="5244">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1.65pt,-238.5499pt" to="491.65pt,287.25pt" o:allowincell="f" strokecolor="#000000" strokeweight="0.4129pt"/>
            </w:pict>
          </mc:Fallback>
        </mc:AlternateContent>
      </w:r>
    </w:p>
    <w:p>
      <w:pPr>
        <w:ind w:left="2340" w:right="3860" w:hanging="5"/>
        <w:spacing w:after="0" w:line="236" w:lineRule="auto"/>
        <w:tabs>
          <w:tab w:leader="none" w:pos="2522" w:val="left"/>
        </w:tabs>
        <w:numPr>
          <w:ilvl w:val="0"/>
          <w:numId w:val="39"/>
        </w:numPr>
        <w:rPr>
          <w:rFonts w:ascii="Arial" w:cs="Arial" w:eastAsia="Arial" w:hAnsi="Arial"/>
          <w:sz w:val="21"/>
          <w:szCs w:val="21"/>
          <w:color w:val="auto"/>
        </w:rPr>
      </w:pPr>
      <w:r>
        <w:rPr>
          <w:rFonts w:ascii="Arial" w:cs="Arial" w:eastAsia="Arial" w:hAnsi="Arial"/>
          <w:sz w:val="21"/>
          <w:szCs w:val="21"/>
          <w:color w:val="auto"/>
        </w:rPr>
        <w:t>3920 - Por exemplo, filme retráctil de plástico (filme plástico)</w:t>
      </w:r>
    </w:p>
    <w:p>
      <w:pPr>
        <w:ind w:left="1460" w:right="3920" w:firstLine="875"/>
        <w:spacing w:after="0" w:line="236" w:lineRule="auto"/>
        <w:tabs>
          <w:tab w:leader="none" w:pos="2524" w:val="left"/>
        </w:tabs>
        <w:numPr>
          <w:ilvl w:val="0"/>
          <w:numId w:val="39"/>
        </w:numPr>
        <w:rPr>
          <w:rFonts w:ascii="Arial" w:cs="Arial" w:eastAsia="Arial" w:hAnsi="Arial"/>
          <w:sz w:val="21"/>
          <w:szCs w:val="21"/>
          <w:color w:val="auto"/>
        </w:rPr>
      </w:pPr>
      <w:r>
        <w:rPr>
          <w:rFonts w:ascii="Arial" w:cs="Arial" w:eastAsia="Arial" w:hAnsi="Arial"/>
          <w:sz w:val="21"/>
          <w:szCs w:val="21"/>
          <w:color w:val="auto"/>
        </w:rPr>
        <w:t xml:space="preserve">3923,21 - Por exemplo, sacos plásticos para </w:t>
      </w:r>
      <w:r>
        <w:rPr>
          <w:rFonts w:ascii="Arial" w:cs="Arial" w:eastAsia="Arial" w:hAnsi="Arial"/>
          <w:sz w:val="21"/>
          <w:szCs w:val="21"/>
          <w:b w:val="1"/>
          <w:bCs w:val="1"/>
          <w:color w:val="auto"/>
        </w:rPr>
        <w:t xml:space="preserve">IX-04 </w:t>
      </w:r>
      <w:r>
        <w:rPr>
          <w:rFonts w:ascii="Arial" w:cs="Arial" w:eastAsia="Arial" w:hAnsi="Arial"/>
          <w:sz w:val="21"/>
          <w:szCs w:val="21"/>
          <w:color w:val="auto"/>
        </w:rPr>
        <w:t>sanduíches, sacos plásticos para alimentos</w:t>
      </w:r>
    </w:p>
    <w:p>
      <w:pPr>
        <w:ind w:left="2340"/>
        <w:spacing w:after="0" w:line="236" w:lineRule="auto"/>
        <w:rPr>
          <w:rFonts w:ascii="Arial" w:cs="Arial" w:eastAsia="Arial" w:hAnsi="Arial"/>
          <w:sz w:val="21"/>
          <w:szCs w:val="21"/>
          <w:color w:val="auto"/>
        </w:rPr>
      </w:pPr>
      <w:r>
        <w:rPr>
          <w:rFonts w:ascii="Arial" w:cs="Arial" w:eastAsia="Arial" w:hAnsi="Arial"/>
          <w:sz w:val="21"/>
          <w:szCs w:val="21"/>
          <w:color w:val="auto"/>
        </w:rPr>
        <w:t>a congelar</w:t>
      </w:r>
    </w:p>
    <w:p>
      <w:pPr>
        <w:ind w:left="2340" w:right="4900" w:hanging="5"/>
        <w:spacing w:after="0" w:line="236" w:lineRule="auto"/>
        <w:tabs>
          <w:tab w:leader="none" w:pos="2522" w:val="left"/>
        </w:tabs>
        <w:numPr>
          <w:ilvl w:val="0"/>
          <w:numId w:val="39"/>
        </w:numPr>
        <w:rPr>
          <w:rFonts w:ascii="Arial" w:cs="Arial" w:eastAsia="Arial" w:hAnsi="Arial"/>
          <w:sz w:val="21"/>
          <w:szCs w:val="21"/>
          <w:color w:val="auto"/>
        </w:rPr>
      </w:pPr>
      <w:r>
        <w:rPr>
          <w:rFonts w:ascii="Arial" w:cs="Arial" w:eastAsia="Arial" w:hAnsi="Arial"/>
          <w:sz w:val="21"/>
          <w:szCs w:val="21"/>
          <w:color w:val="auto"/>
        </w:rPr>
        <w:t>3926,90 - Por exemplo, recipiente descartável de plástico.</w:t>
      </w:r>
    </w:p>
    <w:p>
      <w:pPr>
        <w:spacing w:after="0" w:line="1" w:lineRule="exact"/>
        <w:rPr>
          <w:rFonts w:ascii="Arial" w:cs="Arial" w:eastAsia="Arial" w:hAnsi="Arial"/>
          <w:sz w:val="21"/>
          <w:szCs w:val="21"/>
          <w:color w:val="auto"/>
        </w:rPr>
      </w:pPr>
    </w:p>
    <w:p>
      <w:pPr>
        <w:ind w:left="2520" w:hanging="185"/>
        <w:spacing w:after="0" w:line="236" w:lineRule="auto"/>
        <w:tabs>
          <w:tab w:leader="none" w:pos="2520" w:val="left"/>
        </w:tabs>
        <w:numPr>
          <w:ilvl w:val="0"/>
          <w:numId w:val="39"/>
        </w:numPr>
        <w:rPr>
          <w:rFonts w:ascii="Arial" w:cs="Arial" w:eastAsia="Arial" w:hAnsi="Arial"/>
          <w:sz w:val="21"/>
          <w:szCs w:val="21"/>
          <w:color w:val="auto"/>
        </w:rPr>
      </w:pPr>
      <w:r>
        <w:rPr>
          <w:rFonts w:ascii="Arial" w:cs="Arial" w:eastAsia="Arial" w:hAnsi="Arial"/>
          <w:sz w:val="21"/>
          <w:szCs w:val="21"/>
          <w:color w:val="auto"/>
        </w:rPr>
        <w:t>7607.11 - Por exemplo, folha de alumínio,</w:t>
      </w:r>
    </w:p>
    <w:p>
      <w:pPr>
        <w:ind w:left="2340" w:right="4620" w:hanging="5"/>
        <w:spacing w:after="0" w:line="245" w:lineRule="auto"/>
        <w:tabs>
          <w:tab w:leader="none" w:pos="2521" w:val="left"/>
        </w:tabs>
        <w:numPr>
          <w:ilvl w:val="0"/>
          <w:numId w:val="39"/>
        </w:numPr>
        <w:rPr>
          <w:rFonts w:ascii="Arial" w:cs="Arial" w:eastAsia="Arial" w:hAnsi="Arial"/>
          <w:sz w:val="21"/>
          <w:szCs w:val="21"/>
          <w:color w:val="auto"/>
        </w:rPr>
      </w:pPr>
      <w:r>
        <w:rPr>
          <w:rFonts w:ascii="Arial" w:cs="Arial" w:eastAsia="Arial" w:hAnsi="Arial"/>
          <w:sz w:val="21"/>
          <w:szCs w:val="21"/>
          <w:color w:val="auto"/>
        </w:rPr>
        <w:t>7607,19 - Por exemplo, recipiente de alumínio para alimentos "</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734060</wp:posOffset>
                </wp:positionH>
                <wp:positionV relativeFrom="paragraph">
                  <wp:posOffset>2540</wp:posOffset>
                </wp:positionV>
                <wp:extent cx="551243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12435" cy="4763"/>
                        </a:xfrm>
                        <a:prstGeom prst="line">
                          <a:avLst/>
                        </a:prstGeom>
                        <a:solidFill>
                          <a:srgbClr val="FFFFFF"/>
                        </a:solidFill>
                        <a:ln w="524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8pt,0.2pt" to="491.85pt,0.2pt" o:allowincell="f" strokecolor="#000000" strokeweight="0.413pt"/>
            </w:pict>
          </mc:Fallback>
        </mc:AlternateContent>
      </w:r>
    </w:p>
    <w:p>
      <w:pPr>
        <w:ind w:left="2440"/>
        <w:spacing w:after="0"/>
        <w:rPr>
          <w:sz w:val="20"/>
          <w:szCs w:val="20"/>
          <w:color w:val="auto"/>
        </w:rPr>
      </w:pPr>
      <w:r>
        <w:rPr>
          <w:rFonts w:ascii="Arial" w:cs="Arial" w:eastAsia="Arial" w:hAnsi="Arial"/>
          <w:sz w:val="21"/>
          <w:szCs w:val="21"/>
          <w:b w:val="1"/>
          <w:bCs w:val="1"/>
          <w:color w:val="auto"/>
        </w:rPr>
        <w:t>Grupo X – Papel, artigos de papelaria e produtos relacionados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739140</wp:posOffset>
                </wp:positionH>
                <wp:positionV relativeFrom="paragraph">
                  <wp:posOffset>-146685</wp:posOffset>
                </wp:positionV>
                <wp:extent cx="56515" cy="22479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515" cy="224790"/>
                        </a:xfrm>
                        <a:prstGeom prst="rect">
                          <a:avLst/>
                        </a:prstGeom>
                        <a:solidFill>
                          <a:srgbClr val="D9D9D9"/>
                        </a:solidFill>
                      </wps:spPr>
                      <wps:bodyPr/>
                    </wps:wsp>
                  </a:graphicData>
                </a:graphic>
              </wp:anchor>
            </w:drawing>
          </mc:Choice>
          <mc:Fallback>
            <w:pict>
              <v:rect id="Shape 40" o:spid="_x0000_s1065" style="position:absolute;margin-left:58.2pt;margin-top:-11.5499pt;width:4.45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6184900</wp:posOffset>
                </wp:positionH>
                <wp:positionV relativeFrom="paragraph">
                  <wp:posOffset>-146685</wp:posOffset>
                </wp:positionV>
                <wp:extent cx="56515" cy="22479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515" cy="224790"/>
                        </a:xfrm>
                        <a:prstGeom prst="rect">
                          <a:avLst/>
                        </a:prstGeom>
                        <a:solidFill>
                          <a:srgbClr val="D9D9D9"/>
                        </a:solidFill>
                      </wps:spPr>
                      <wps:bodyPr/>
                    </wps:wsp>
                  </a:graphicData>
                </a:graphic>
              </wp:anchor>
            </w:drawing>
          </mc:Choice>
          <mc:Fallback>
            <w:pict>
              <v:rect id="Shape 41" o:spid="_x0000_s1066" style="position:absolute;margin-left:487pt;margin-top:-11.5499pt;width:4.45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796290</wp:posOffset>
                </wp:positionH>
                <wp:positionV relativeFrom="paragraph">
                  <wp:posOffset>-146050</wp:posOffset>
                </wp:positionV>
                <wp:extent cx="5388610" cy="22479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88610" cy="224790"/>
                        </a:xfrm>
                        <a:prstGeom prst="rect">
                          <a:avLst/>
                        </a:prstGeom>
                        <a:solidFill>
                          <a:srgbClr val="D9D9D9"/>
                        </a:solidFill>
                      </wps:spPr>
                      <wps:bodyPr/>
                    </wps:wsp>
                  </a:graphicData>
                </a:graphic>
              </wp:anchor>
            </w:drawing>
          </mc:Choice>
          <mc:Fallback>
            <w:pict>
              <v:rect id="Shape 42" o:spid="_x0000_s1067" style="position:absolute;margin-left:62.7pt;margin-top:-11.4999pt;width:424.3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w:r>
    </w:p>
    <w:p>
      <w:pPr>
        <w:spacing w:after="0" w:line="82" w:lineRule="exact"/>
        <w:rPr>
          <w:sz w:val="20"/>
          <w:szCs w:val="20"/>
          <w:color w:val="auto"/>
        </w:rPr>
      </w:pPr>
    </w:p>
    <w:tbl>
      <w:tblPr>
        <w:tblLayout w:type="fixed"/>
        <w:tblInd w:w="1160" w:type="dxa"/>
        <w:tblCellMar>
          <w:top w:w="0" w:type="dxa"/>
          <w:left w:w="0" w:type="dxa"/>
          <w:bottom w:w="0" w:type="dxa"/>
          <w:right w:w="0" w:type="dxa"/>
        </w:tblCellMar>
      </w:tblPr>
      <w:tr>
        <w:trPr>
          <w:trHeight w:val="248"/>
        </w:trPr>
        <w:tc>
          <w:tcPr>
            <w:tcW w:w="1100" w:type="dxa"/>
            <w:vAlign w:val="bottom"/>
            <w:tcBorders>
              <w:top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21"/>
                <w:szCs w:val="21"/>
                <w:b w:val="1"/>
                <w:bCs w:val="1"/>
                <w:color w:val="auto"/>
                <w:w w:val="95"/>
              </w:rPr>
              <w:t>NP</w:t>
            </w:r>
          </w:p>
        </w:tc>
        <w:tc>
          <w:tcPr>
            <w:tcW w:w="4560" w:type="dxa"/>
            <w:vAlign w:val="bottom"/>
            <w:tcBorders>
              <w:top w:val="single" w:sz="8" w:color="auto"/>
              <w:bottom w:val="single" w:sz="8" w:color="auto"/>
              <w:right w:val="single" w:sz="8" w:color="auto"/>
            </w:tcBorders>
          </w:tcPr>
          <w:p>
            <w:pPr>
              <w:ind w:left="1200"/>
              <w:spacing w:after="0"/>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top w:val="single" w:sz="8" w:color="auto"/>
              <w:bottom w:val="single" w:sz="8" w:color="auto"/>
            </w:tcBorders>
          </w:tcPr>
          <w:p>
            <w:pPr>
              <w:jc w:val="right"/>
              <w:ind w:right="897"/>
              <w:spacing w:after="0"/>
              <w:rPr>
                <w:sz w:val="20"/>
                <w:szCs w:val="20"/>
                <w:color w:val="auto"/>
              </w:rPr>
            </w:pPr>
            <w:r>
              <w:rPr>
                <w:rFonts w:ascii="Arial" w:cs="Arial" w:eastAsia="Arial" w:hAnsi="Arial"/>
                <w:sz w:val="21"/>
                <w:szCs w:val="21"/>
                <w:b w:val="1"/>
                <w:bCs w:val="1"/>
                <w:color w:val="auto"/>
              </w:rPr>
              <w:t>Código HS</w:t>
            </w:r>
          </w:p>
        </w:tc>
        <w:tc>
          <w:tcPr>
            <w:tcW w:w="0" w:type="dxa"/>
            <w:vAlign w:val="bottom"/>
          </w:tcPr>
          <w:p>
            <w:pPr>
              <w:spacing w:after="0"/>
              <w:rPr>
                <w:sz w:val="1"/>
                <w:szCs w:val="1"/>
                <w:color w:val="auto"/>
              </w:rPr>
            </w:pPr>
          </w:p>
        </w:tc>
      </w:tr>
      <w:tr>
        <w:trPr>
          <w:trHeight w:val="208"/>
        </w:trPr>
        <w:tc>
          <w:tcPr>
            <w:tcW w:w="1100" w:type="dxa"/>
            <w:vAlign w:val="bottom"/>
            <w:tcBorders>
              <w:right w:val="single" w:sz="8" w:color="auto"/>
            </w:tcBorders>
            <w:vMerge w:val="restart"/>
          </w:tcPr>
          <w:p>
            <w:pPr>
              <w:jc w:val="center"/>
              <w:spacing w:after="0"/>
              <w:rPr>
                <w:sz w:val="20"/>
                <w:szCs w:val="20"/>
                <w:color w:val="auto"/>
              </w:rPr>
            </w:pPr>
            <w:r>
              <w:rPr>
                <w:rFonts w:ascii="Arial" w:cs="Arial" w:eastAsia="Arial" w:hAnsi="Arial"/>
                <w:sz w:val="21"/>
                <w:szCs w:val="21"/>
                <w:b w:val="1"/>
                <w:bCs w:val="1"/>
                <w:color w:val="auto"/>
                <w:w w:val="99"/>
              </w:rPr>
              <w:t>X-01</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Produtos de papel e papelão incluindo papel de</w:t>
            </w:r>
          </w:p>
        </w:tc>
        <w:tc>
          <w:tcPr>
            <w:tcW w:w="3020" w:type="dxa"/>
            <w:vAlign w:val="bottom"/>
          </w:tcPr>
          <w:p>
            <w:pPr>
              <w:jc w:val="center"/>
              <w:spacing w:after="0" w:line="208" w:lineRule="exact"/>
              <w:rPr>
                <w:sz w:val="20"/>
                <w:szCs w:val="20"/>
                <w:color w:val="auto"/>
              </w:rPr>
            </w:pPr>
            <w:r>
              <w:rPr>
                <w:rFonts w:ascii="Arial" w:cs="Arial" w:eastAsia="Arial" w:hAnsi="Arial"/>
                <w:sz w:val="21"/>
                <w:szCs w:val="21"/>
                <w:color w:val="auto"/>
                <w:w w:val="98"/>
              </w:rPr>
              <w:t>"4801,4802,4803,4804,4805,</w:t>
            </w:r>
          </w:p>
        </w:tc>
        <w:tc>
          <w:tcPr>
            <w:tcW w:w="0" w:type="dxa"/>
            <w:vAlign w:val="bottom"/>
          </w:tcPr>
          <w:p>
            <w:pPr>
              <w:spacing w:after="0"/>
              <w:rPr>
                <w:sz w:val="1"/>
                <w:szCs w:val="1"/>
                <w:color w:val="auto"/>
              </w:rPr>
            </w:pPr>
          </w:p>
        </w:tc>
      </w:tr>
      <w:tr>
        <w:trPr>
          <w:trHeight w:val="236"/>
        </w:trPr>
        <w:tc>
          <w:tcPr>
            <w:tcW w:w="1100" w:type="dxa"/>
            <w:vAlign w:val="bottom"/>
            <w:tcBorders>
              <w:right w:val="single" w:sz="8" w:color="auto"/>
            </w:tcBorders>
            <w:vMerge w:val="continue"/>
          </w:tcPr>
          <w:p>
            <w:pPr>
              <w:spacing w:after="0"/>
              <w:rPr>
                <w:sz w:val="20"/>
                <w:szCs w:val="20"/>
                <w:color w:val="auto"/>
              </w:rPr>
            </w:pPr>
          </w:p>
        </w:tc>
        <w:tc>
          <w:tcPr>
            <w:tcW w:w="4560" w:type="dxa"/>
            <w:vAlign w:val="bottom"/>
            <w:tcBorders>
              <w:right w:val="single" w:sz="8" w:color="auto"/>
            </w:tcBorders>
          </w:tcPr>
          <w:p>
            <w:pPr>
              <w:ind w:left="80"/>
              <w:spacing w:after="0" w:line="236" w:lineRule="exact"/>
              <w:rPr>
                <w:sz w:val="20"/>
                <w:szCs w:val="20"/>
                <w:color w:val="auto"/>
              </w:rPr>
            </w:pPr>
            <w:r>
              <w:rPr>
                <w:rFonts w:ascii="Arial" w:cs="Arial" w:eastAsia="Arial" w:hAnsi="Arial"/>
                <w:sz w:val="21"/>
                <w:szCs w:val="21"/>
                <w:color w:val="auto"/>
              </w:rPr>
              <w:t>jornal, papel higiênico ou lenço facial, papéis</w:t>
            </w:r>
          </w:p>
        </w:tc>
        <w:tc>
          <w:tcPr>
            <w:tcW w:w="3020" w:type="dxa"/>
            <w:vAlign w:val="bottom"/>
          </w:tcPr>
          <w:p>
            <w:pPr>
              <w:jc w:val="center"/>
              <w:spacing w:after="0" w:line="236" w:lineRule="exact"/>
              <w:rPr>
                <w:sz w:val="20"/>
                <w:szCs w:val="20"/>
                <w:color w:val="auto"/>
              </w:rPr>
            </w:pPr>
            <w:r>
              <w:rPr>
                <w:rFonts w:ascii="Arial" w:cs="Arial" w:eastAsia="Arial" w:hAnsi="Arial"/>
                <w:sz w:val="21"/>
                <w:szCs w:val="21"/>
                <w:color w:val="auto"/>
                <w:w w:val="98"/>
              </w:rPr>
              <w:t>4806,4807,4808,4809,4810,</w:t>
            </w:r>
          </w:p>
        </w:tc>
        <w:tc>
          <w:tcPr>
            <w:tcW w:w="0" w:type="dxa"/>
            <w:vAlign w:val="bottom"/>
          </w:tcPr>
          <w:p>
            <w:pPr>
              <w:spacing w:after="0"/>
              <w:rPr>
                <w:sz w:val="1"/>
                <w:szCs w:val="1"/>
                <w:color w:val="auto"/>
              </w:rPr>
            </w:pPr>
          </w:p>
        </w:tc>
      </w:tr>
      <w:tr>
        <w:trPr>
          <w:trHeight w:val="240"/>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40" w:lineRule="exact"/>
              <w:rPr>
                <w:sz w:val="20"/>
                <w:szCs w:val="20"/>
                <w:color w:val="auto"/>
              </w:rPr>
            </w:pPr>
            <w:r>
              <w:rPr>
                <w:rFonts w:ascii="Arial" w:cs="Arial" w:eastAsia="Arial" w:hAnsi="Arial"/>
                <w:sz w:val="21"/>
                <w:szCs w:val="21"/>
                <w:color w:val="auto"/>
              </w:rPr>
              <w:t xml:space="preserve">impermeáveis,  papel  vegetal,  papel  </w:t>
            </w:r>
            <w:r>
              <w:rPr>
                <w:rFonts w:ascii="Arial" w:cs="Arial" w:eastAsia="Arial" w:hAnsi="Arial"/>
                <w:sz w:val="21"/>
                <w:szCs w:val="21"/>
                <w:i w:val="1"/>
                <w:iCs w:val="1"/>
                <w:color w:val="auto"/>
              </w:rPr>
              <w:t>kraft</w:t>
            </w:r>
          </w:p>
        </w:tc>
        <w:tc>
          <w:tcPr>
            <w:tcW w:w="3020" w:type="dxa"/>
            <w:vAlign w:val="bottom"/>
          </w:tcPr>
          <w:p>
            <w:pPr>
              <w:jc w:val="center"/>
              <w:spacing w:after="0" w:line="240" w:lineRule="exact"/>
              <w:rPr>
                <w:sz w:val="20"/>
                <w:szCs w:val="20"/>
                <w:color w:val="auto"/>
              </w:rPr>
            </w:pPr>
            <w:r>
              <w:rPr>
                <w:rFonts w:ascii="Arial" w:cs="Arial" w:eastAsia="Arial" w:hAnsi="Arial"/>
                <w:sz w:val="21"/>
                <w:szCs w:val="21"/>
                <w:color w:val="auto"/>
                <w:w w:val="98"/>
              </w:rPr>
              <w:t>4811,4812,4814,4816,4817,</w:t>
            </w:r>
          </w:p>
        </w:tc>
        <w:tc>
          <w:tcPr>
            <w:tcW w:w="0" w:type="dxa"/>
            <w:vAlign w:val="bottom"/>
          </w:tcPr>
          <w:p>
            <w:pPr>
              <w:spacing w:after="0"/>
              <w:rPr>
                <w:sz w:val="1"/>
                <w:szCs w:val="1"/>
                <w:color w:val="auto"/>
              </w:rPr>
            </w:pPr>
          </w:p>
        </w:tc>
      </w:tr>
      <w:tr>
        <w:trPr>
          <w:trHeight w:val="256"/>
        </w:trPr>
        <w:tc>
          <w:tcPr>
            <w:tcW w:w="11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papelão, caixas de papelão, caixas, etc.</w:t>
            </w:r>
          </w:p>
        </w:tc>
        <w:tc>
          <w:tcPr>
            <w:tcW w:w="3020" w:type="dxa"/>
            <w:vAlign w:val="bottom"/>
            <w:tcBorders>
              <w:bottom w:val="single" w:sz="8" w:color="auto"/>
            </w:tcBorders>
          </w:tcPr>
          <w:p>
            <w:pPr>
              <w:jc w:val="center"/>
              <w:spacing w:after="0"/>
              <w:rPr>
                <w:sz w:val="20"/>
                <w:szCs w:val="20"/>
                <w:color w:val="auto"/>
              </w:rPr>
            </w:pPr>
            <w:r>
              <w:rPr>
                <w:rFonts w:ascii="Arial" w:cs="Arial" w:eastAsia="Arial" w:hAnsi="Arial"/>
                <w:sz w:val="21"/>
                <w:szCs w:val="21"/>
                <w:color w:val="auto"/>
                <w:w w:val="98"/>
              </w:rPr>
              <w:t>4819,4820,4821,4823"</w:t>
            </w:r>
          </w:p>
        </w:tc>
        <w:tc>
          <w:tcPr>
            <w:tcW w:w="0" w:type="dxa"/>
            <w:vAlign w:val="bottom"/>
          </w:tcPr>
          <w:p>
            <w:pPr>
              <w:spacing w:after="0"/>
              <w:rPr>
                <w:sz w:val="1"/>
                <w:szCs w:val="1"/>
                <w:color w:val="auto"/>
              </w:rPr>
            </w:pPr>
          </w:p>
        </w:tc>
      </w:tr>
      <w:tr>
        <w:trPr>
          <w:trHeight w:val="208"/>
        </w:trPr>
        <w:tc>
          <w:tcPr>
            <w:tcW w:w="110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Materiais de escrita, desenho, coloração,</w:t>
            </w:r>
          </w:p>
        </w:tc>
        <w:tc>
          <w:tcPr>
            <w:tcW w:w="30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pintura e produtos similares incluindo giz para</w:t>
            </w:r>
          </w:p>
        </w:tc>
        <w:tc>
          <w:tcPr>
            <w:tcW w:w="30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escrever/desenhar, tinta de impressão, canetas</w:t>
            </w:r>
          </w:p>
        </w:tc>
        <w:tc>
          <w:tcPr>
            <w:tcW w:w="3020" w:type="dxa"/>
            <w:vAlign w:val="bottom"/>
          </w:tcPr>
          <w:p>
            <w:pPr>
              <w:jc w:val="right"/>
              <w:ind w:right="717"/>
              <w:spacing w:after="0" w:line="238" w:lineRule="exact"/>
              <w:rPr>
                <w:sz w:val="20"/>
                <w:szCs w:val="20"/>
                <w:color w:val="auto"/>
              </w:rPr>
            </w:pPr>
            <w:r>
              <w:rPr>
                <w:rFonts w:ascii="Arial" w:cs="Arial" w:eastAsia="Arial" w:hAnsi="Arial"/>
                <w:sz w:val="21"/>
                <w:szCs w:val="21"/>
                <w:color w:val="auto"/>
              </w:rPr>
              <w:t>3,213,321,596,089,600</w:t>
            </w:r>
          </w:p>
        </w:tc>
        <w:tc>
          <w:tcPr>
            <w:tcW w:w="0" w:type="dxa"/>
            <w:vAlign w:val="bottom"/>
          </w:tcPr>
          <w:p>
            <w:pPr>
              <w:spacing w:after="0"/>
              <w:rPr>
                <w:sz w:val="1"/>
                <w:szCs w:val="1"/>
                <w:color w:val="auto"/>
              </w:rPr>
            </w:pPr>
          </w:p>
        </w:tc>
      </w:tr>
      <w:tr>
        <w:trPr>
          <w:trHeight w:val="274"/>
        </w:trPr>
        <w:tc>
          <w:tcPr>
            <w:tcW w:w="110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esferográficas, lápis, giz de cera e fitas.</w:t>
            </w:r>
          </w:p>
        </w:tc>
        <w:tc>
          <w:tcPr>
            <w:tcW w:w="30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486"/>
        </w:trPr>
        <w:tc>
          <w:tcPr>
            <w:tcW w:w="1100" w:type="dxa"/>
            <w:vAlign w:val="bottom"/>
            <w:tcBorders>
              <w:right w:val="single" w:sz="8" w:color="auto"/>
            </w:tcBorders>
          </w:tcPr>
          <w:p>
            <w:pPr>
              <w:jc w:val="center"/>
              <w:spacing w:after="0"/>
              <w:rPr>
                <w:sz w:val="20"/>
                <w:szCs w:val="20"/>
                <w:color w:val="auto"/>
              </w:rPr>
            </w:pPr>
            <w:r>
              <w:rPr>
                <w:rFonts w:ascii="Arial" w:cs="Arial" w:eastAsia="Arial" w:hAnsi="Arial"/>
                <w:sz w:val="21"/>
                <w:szCs w:val="21"/>
                <w:b w:val="1"/>
                <w:bCs w:val="1"/>
                <w:color w:val="auto"/>
                <w:w w:val="99"/>
              </w:rPr>
              <w:t>X-03</w:t>
            </w:r>
          </w:p>
        </w:tc>
        <w:tc>
          <w:tcPr>
            <w:tcW w:w="4560" w:type="dxa"/>
            <w:vAlign w:val="bottom"/>
            <w:tcBorders>
              <w:right w:val="single" w:sz="8" w:color="auto"/>
            </w:tcBorders>
          </w:tcPr>
          <w:p>
            <w:pPr>
              <w:spacing w:after="0"/>
              <w:rPr>
                <w:sz w:val="24"/>
                <w:szCs w:val="24"/>
                <w:color w:val="auto"/>
              </w:rPr>
            </w:pPr>
          </w:p>
        </w:tc>
        <w:tc>
          <w:tcPr>
            <w:tcW w:w="30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5"/>
        </w:trPr>
        <w:tc>
          <w:tcPr>
            <w:tcW w:w="1100" w:type="dxa"/>
            <w:vAlign w:val="bottom"/>
            <w:tcBorders>
              <w:right w:val="single" w:sz="8" w:color="auto"/>
            </w:tcBorders>
          </w:tcPr>
          <w:p>
            <w:pPr>
              <w:spacing w:after="0"/>
              <w:rPr>
                <w:sz w:val="24"/>
                <w:szCs w:val="24"/>
                <w:color w:val="auto"/>
              </w:rPr>
            </w:pPr>
          </w:p>
        </w:tc>
        <w:tc>
          <w:tcPr>
            <w:tcW w:w="4560" w:type="dxa"/>
            <w:vAlign w:val="bottom"/>
            <w:tcBorders>
              <w:right w:val="single" w:sz="8" w:color="auto"/>
            </w:tcBorders>
          </w:tcPr>
          <w:p>
            <w:pPr>
              <w:spacing w:after="0"/>
              <w:rPr>
                <w:sz w:val="24"/>
                <w:szCs w:val="24"/>
                <w:color w:val="auto"/>
              </w:rPr>
            </w:pPr>
          </w:p>
        </w:tc>
        <w:tc>
          <w:tcPr>
            <w:tcW w:w="30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0520"/>
          </w:cols>
          <w:pgMar w:left="680" w:top="803" w:right="706" w:bottom="1440" w:gutter="0" w:footer="0" w:header="0"/>
        </w:sectPr>
      </w:pPr>
    </w:p>
    <w:bookmarkStart w:id="19" w:name="page20"/>
    <w:bookmarkEnd w:id="19"/>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41"/>
        </w:trPr>
        <w:tc>
          <w:tcPr>
            <w:tcW w:w="1180" w:type="dxa"/>
            <w:vAlign w:val="bottom"/>
          </w:tcPr>
          <w:p>
            <w:pPr>
              <w:jc w:val="right"/>
              <w:ind w:right="780"/>
              <w:spacing w:after="0"/>
              <w:rPr>
                <w:sz w:val="20"/>
                <w:szCs w:val="20"/>
                <w:color w:val="auto"/>
              </w:rPr>
            </w:pPr>
            <w:r>
              <w:rPr>
                <w:rFonts w:ascii="Times New Roman" w:cs="Times New Roman" w:eastAsia="Times New Roman" w:hAnsi="Times New Roman"/>
                <w:sz w:val="20"/>
                <w:szCs w:val="20"/>
                <w:color w:val="auto"/>
                <w:w w:val="93"/>
              </w:rPr>
              <w:t>364</w:t>
            </w:r>
          </w:p>
        </w:tc>
        <w:tc>
          <w:tcPr>
            <w:tcW w:w="8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4000" w:type="dxa"/>
            <w:vAlign w:val="bottom"/>
          </w:tcPr>
          <w:p>
            <w:pPr>
              <w:spacing w:after="0"/>
              <w:rPr>
                <w:sz w:val="20"/>
                <w:szCs w:val="20"/>
                <w:color w:val="auto"/>
              </w:rPr>
            </w:pPr>
          </w:p>
        </w:tc>
        <w:tc>
          <w:tcPr>
            <w:tcW w:w="3700" w:type="dxa"/>
            <w:vAlign w:val="bottom"/>
            <w:gridSpan w:val="2"/>
          </w:tcPr>
          <w:p>
            <w:pPr>
              <w:ind w:left="1640"/>
              <w:spacing w:after="0"/>
              <w:rPr>
                <w:sz w:val="20"/>
                <w:szCs w:val="20"/>
                <w:color w:val="auto"/>
              </w:rPr>
            </w:pPr>
            <w:r>
              <w:rPr>
                <w:rFonts w:ascii="Times New Roman" w:cs="Times New Roman" w:eastAsia="Times New Roman" w:hAnsi="Times New Roman"/>
                <w:sz w:val="20"/>
                <w:szCs w:val="20"/>
                <w:i w:val="1"/>
                <w:iCs w:val="1"/>
                <w:color w:val="auto"/>
              </w:rPr>
              <w:t>I SÉRIE — NÚMERO 50</w:t>
            </w:r>
          </w:p>
        </w:tc>
        <w:tc>
          <w:tcPr>
            <w:tcW w:w="0" w:type="dxa"/>
            <w:vAlign w:val="bottom"/>
          </w:tcPr>
          <w:p>
            <w:pPr>
              <w:spacing w:after="0"/>
              <w:rPr>
                <w:sz w:val="1"/>
                <w:szCs w:val="1"/>
                <w:color w:val="auto"/>
              </w:rPr>
            </w:pPr>
          </w:p>
        </w:tc>
      </w:tr>
      <w:tr>
        <w:trPr>
          <w:trHeight w:val="40"/>
        </w:trPr>
        <w:tc>
          <w:tcPr>
            <w:tcW w:w="118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100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gridSpan w:val="2"/>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16"/>
        </w:trPr>
        <w:tc>
          <w:tcPr>
            <w:tcW w:w="118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gridSpan w:val="2"/>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1180" w:type="dxa"/>
            <w:vAlign w:val="bottom"/>
            <w:tcBorders>
              <w:right w:val="single" w:sz="8" w:color="auto"/>
            </w:tcBorders>
          </w:tcPr>
          <w:p>
            <w:pPr>
              <w:spacing w:after="0"/>
              <w:rPr>
                <w:sz w:val="23"/>
                <w:szCs w:val="23"/>
                <w:color w:val="auto"/>
              </w:rPr>
            </w:pPr>
          </w:p>
        </w:tc>
        <w:tc>
          <w:tcPr>
            <w:tcW w:w="80" w:type="dxa"/>
            <w:vAlign w:val="bottom"/>
            <w:shd w:val="clear" w:color="auto" w:fill="D9D9D9"/>
          </w:tcPr>
          <w:p>
            <w:pPr>
              <w:spacing w:after="0"/>
              <w:rPr>
                <w:sz w:val="23"/>
                <w:szCs w:val="23"/>
                <w:color w:val="auto"/>
              </w:rPr>
            </w:pPr>
          </w:p>
        </w:tc>
        <w:tc>
          <w:tcPr>
            <w:tcW w:w="1000" w:type="dxa"/>
            <w:vAlign w:val="bottom"/>
            <w:tcBorders>
              <w:right w:val="single" w:sz="8" w:color="D9D9D9"/>
            </w:tcBorders>
            <w:shd w:val="clear" w:color="auto" w:fill="D9D9D9"/>
          </w:tcPr>
          <w:p>
            <w:pPr>
              <w:spacing w:after="0"/>
              <w:rPr>
                <w:sz w:val="23"/>
                <w:szCs w:val="23"/>
                <w:color w:val="auto"/>
              </w:rPr>
            </w:pPr>
          </w:p>
        </w:tc>
        <w:tc>
          <w:tcPr>
            <w:tcW w:w="7580" w:type="dxa"/>
            <w:vAlign w:val="bottom"/>
            <w:tcBorders>
              <w:right w:val="single" w:sz="8" w:color="auto"/>
            </w:tcBorders>
            <w:gridSpan w:val="3"/>
            <w:shd w:val="clear" w:color="auto" w:fill="D9D9D9"/>
          </w:tcPr>
          <w:p>
            <w:pPr>
              <w:ind w:left="320"/>
              <w:spacing w:after="0"/>
              <w:rPr>
                <w:sz w:val="20"/>
                <w:szCs w:val="20"/>
                <w:color w:val="auto"/>
              </w:rPr>
            </w:pPr>
            <w:r>
              <w:rPr>
                <w:rFonts w:ascii="Arial" w:cs="Arial" w:eastAsia="Arial" w:hAnsi="Arial"/>
                <w:sz w:val="21"/>
                <w:szCs w:val="21"/>
                <w:b w:val="1"/>
                <w:bCs w:val="1"/>
                <w:color w:val="auto"/>
              </w:rPr>
              <w:t>Grupo XI – Produtos relacionados à protecção e segurança</w:t>
            </w: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72"/>
        </w:trPr>
        <w:tc>
          <w:tcPr>
            <w:tcW w:w="1180" w:type="dxa"/>
            <w:vAlign w:val="bottom"/>
            <w:tcBorders>
              <w:right w:val="single" w:sz="8" w:color="auto"/>
            </w:tcBorders>
          </w:tcPr>
          <w:p>
            <w:pPr>
              <w:spacing w:after="0"/>
              <w:rPr>
                <w:sz w:val="6"/>
                <w:szCs w:val="6"/>
                <w:color w:val="auto"/>
              </w:rPr>
            </w:pPr>
          </w:p>
        </w:tc>
        <w:tc>
          <w:tcPr>
            <w:tcW w:w="80" w:type="dxa"/>
            <w:vAlign w:val="bottom"/>
            <w:tcBorders>
              <w:bottom w:val="single" w:sz="8" w:color="auto"/>
            </w:tcBorders>
            <w:shd w:val="clear" w:color="auto" w:fill="D9D9D9"/>
          </w:tcPr>
          <w:p>
            <w:pPr>
              <w:spacing w:after="0"/>
              <w:rPr>
                <w:sz w:val="6"/>
                <w:szCs w:val="6"/>
                <w:color w:val="auto"/>
              </w:rPr>
            </w:pPr>
          </w:p>
        </w:tc>
        <w:tc>
          <w:tcPr>
            <w:tcW w:w="1000" w:type="dxa"/>
            <w:vAlign w:val="bottom"/>
            <w:tcBorders>
              <w:bottom w:val="single" w:sz="8" w:color="auto"/>
              <w:right w:val="single" w:sz="8" w:color="D9D9D9"/>
            </w:tcBorders>
            <w:shd w:val="clear" w:color="auto" w:fill="D9D9D9"/>
          </w:tcPr>
          <w:p>
            <w:pPr>
              <w:spacing w:after="0"/>
              <w:rPr>
                <w:sz w:val="6"/>
                <w:szCs w:val="6"/>
                <w:color w:val="auto"/>
              </w:rPr>
            </w:pPr>
          </w:p>
        </w:tc>
        <w:tc>
          <w:tcPr>
            <w:tcW w:w="560" w:type="dxa"/>
            <w:vAlign w:val="bottom"/>
            <w:tcBorders>
              <w:bottom w:val="single" w:sz="8" w:color="auto"/>
            </w:tcBorders>
            <w:shd w:val="clear" w:color="auto" w:fill="D9D9D9"/>
          </w:tcPr>
          <w:p>
            <w:pPr>
              <w:spacing w:after="0"/>
              <w:rPr>
                <w:sz w:val="6"/>
                <w:szCs w:val="6"/>
                <w:color w:val="auto"/>
              </w:rPr>
            </w:pPr>
          </w:p>
        </w:tc>
        <w:tc>
          <w:tcPr>
            <w:tcW w:w="4000" w:type="dxa"/>
            <w:vAlign w:val="bottom"/>
            <w:tcBorders>
              <w:bottom w:val="single" w:sz="8" w:color="auto"/>
              <w:right w:val="single" w:sz="8" w:color="D9D9D9"/>
            </w:tcBorders>
            <w:shd w:val="clear" w:color="auto" w:fill="D9D9D9"/>
          </w:tcPr>
          <w:p>
            <w:pPr>
              <w:spacing w:after="0"/>
              <w:rPr>
                <w:sz w:val="6"/>
                <w:szCs w:val="6"/>
                <w:color w:val="auto"/>
              </w:rPr>
            </w:pPr>
          </w:p>
        </w:tc>
        <w:tc>
          <w:tcPr>
            <w:tcW w:w="3020" w:type="dxa"/>
            <w:vAlign w:val="bottom"/>
            <w:tcBorders>
              <w:bottom w:val="single" w:sz="8" w:color="auto"/>
              <w:right w:val="single" w:sz="8" w:color="auto"/>
            </w:tcBorders>
            <w:shd w:val="clear" w:color="auto" w:fill="D9D9D9"/>
          </w:tcPr>
          <w:p>
            <w:pPr>
              <w:spacing w:after="0"/>
              <w:rPr>
                <w:sz w:val="6"/>
                <w:szCs w:val="6"/>
                <w:color w:val="auto"/>
              </w:rPr>
            </w:pPr>
          </w:p>
        </w:tc>
        <w:tc>
          <w:tcPr>
            <w:tcW w:w="6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000" w:type="dxa"/>
            <w:vAlign w:val="bottom"/>
            <w:tcBorders>
              <w:bottom w:val="single" w:sz="8" w:color="auto"/>
              <w:right w:val="single" w:sz="8" w:color="auto"/>
            </w:tcBorders>
          </w:tcPr>
          <w:p>
            <w:pPr>
              <w:jc w:val="center"/>
              <w:ind w:right="17"/>
              <w:spacing w:after="0" w:line="226" w:lineRule="exact"/>
              <w:rPr>
                <w:sz w:val="20"/>
                <w:szCs w:val="20"/>
                <w:color w:val="auto"/>
              </w:rPr>
            </w:pPr>
            <w:r>
              <w:rPr>
                <w:rFonts w:ascii="Arial" w:cs="Arial" w:eastAsia="Arial" w:hAnsi="Arial"/>
                <w:sz w:val="21"/>
                <w:szCs w:val="21"/>
                <w:b w:val="1"/>
                <w:bCs w:val="1"/>
                <w:color w:val="auto"/>
                <w:w w:val="95"/>
              </w:rPr>
              <w:t>NP</w:t>
            </w:r>
          </w:p>
        </w:tc>
        <w:tc>
          <w:tcPr>
            <w:tcW w:w="560" w:type="dxa"/>
            <w:vAlign w:val="bottom"/>
            <w:tcBorders>
              <w:bottom w:val="single" w:sz="8" w:color="auto"/>
            </w:tcBorders>
          </w:tcPr>
          <w:p>
            <w:pPr>
              <w:spacing w:after="0"/>
              <w:rPr>
                <w:sz w:val="19"/>
                <w:szCs w:val="19"/>
                <w:color w:val="auto"/>
              </w:rPr>
            </w:pPr>
          </w:p>
        </w:tc>
        <w:tc>
          <w:tcPr>
            <w:tcW w:w="4000" w:type="dxa"/>
            <w:vAlign w:val="bottom"/>
            <w:tcBorders>
              <w:bottom w:val="single" w:sz="8" w:color="auto"/>
              <w:right w:val="single" w:sz="8" w:color="auto"/>
            </w:tcBorders>
          </w:tcPr>
          <w:p>
            <w:pPr>
              <w:ind w:left="64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gridSpan w:val="2"/>
          </w:tcPr>
          <w:p>
            <w:pPr>
              <w:ind w:left="80"/>
              <w:spacing w:after="0" w:line="208" w:lineRule="exact"/>
              <w:rPr>
                <w:sz w:val="20"/>
                <w:szCs w:val="20"/>
                <w:color w:val="auto"/>
              </w:rPr>
            </w:pPr>
            <w:r>
              <w:rPr>
                <w:rFonts w:ascii="Arial" w:cs="Arial" w:eastAsia="Arial" w:hAnsi="Arial"/>
                <w:sz w:val="21"/>
                <w:szCs w:val="21"/>
                <w:color w:val="auto"/>
              </w:rPr>
              <w:t>Equipamentos de combate a incêndio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3813, 5909,8424.10, 8424.20,</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e produtos semelhantes, incluindo os descritos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8424.89, 8481.80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nos códigos HS: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3813</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Preparações e cargas para extintores;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granadas extintoras carregadas.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5909</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Mangueira de incêndio de material têxtil</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vMerge w:val="restart"/>
          </w:tcPr>
          <w:p>
            <w:pPr>
              <w:jc w:val="center"/>
              <w:ind w:right="17"/>
              <w:spacing w:after="0"/>
              <w:rPr>
                <w:sz w:val="20"/>
                <w:szCs w:val="20"/>
                <w:color w:val="auto"/>
              </w:rPr>
            </w:pPr>
            <w:r>
              <w:rPr>
                <w:rFonts w:ascii="Arial" w:cs="Arial" w:eastAsia="Arial" w:hAnsi="Arial"/>
                <w:sz w:val="21"/>
                <w:szCs w:val="21"/>
                <w:b w:val="1"/>
                <w:bCs w:val="1"/>
                <w:color w:val="auto"/>
                <w:w w:val="95"/>
              </w:rPr>
              <w:t>XI-01</w:t>
            </w: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8424</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Extintores de incêndio, mesmo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vMerge w:val="continue"/>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carregados , pistolas pulverizadoras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e aparelhos semelhantes e chuveiros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automáticos contra incêndios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80" w:type="dxa"/>
            <w:vAlign w:val="bottom"/>
          </w:tcPr>
          <w:p>
            <w:pPr>
              <w:spacing w:after="0"/>
              <w:rPr>
                <w:sz w:val="23"/>
                <w:szCs w:val="23"/>
                <w:color w:val="auto"/>
              </w:rPr>
            </w:pPr>
          </w:p>
        </w:tc>
        <w:tc>
          <w:tcPr>
            <w:tcW w:w="100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gridSpan w:val="2"/>
          </w:tcPr>
          <w:p>
            <w:pPr>
              <w:ind w:left="80"/>
              <w:spacing w:after="0"/>
              <w:rPr>
                <w:sz w:val="20"/>
                <w:szCs w:val="20"/>
                <w:color w:val="auto"/>
              </w:rPr>
            </w:pPr>
            <w:r>
              <w:rPr>
                <w:rFonts w:ascii="Arial" w:cs="Arial" w:eastAsia="Arial" w:hAnsi="Arial"/>
                <w:sz w:val="21"/>
                <w:szCs w:val="21"/>
                <w:color w:val="auto"/>
              </w:rPr>
              <w:t>8481- Hidrantes, cano vertical como hidratante</w:t>
            </w:r>
          </w:p>
        </w:tc>
        <w:tc>
          <w:tcPr>
            <w:tcW w:w="3020" w:type="dxa"/>
            <w:vAlign w:val="bottom"/>
            <w:tcBorders>
              <w:right w:val="single" w:sz="8" w:color="auto"/>
            </w:tcBorders>
          </w:tcPr>
          <w:p>
            <w:pPr>
              <w:spacing w:after="0"/>
              <w:rPr>
                <w:sz w:val="23"/>
                <w:szCs w:val="23"/>
                <w:color w:val="auto"/>
              </w:rPr>
            </w:pP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20"/>
        </w:trPr>
        <w:tc>
          <w:tcPr>
            <w:tcW w:w="1180" w:type="dxa"/>
            <w:vAlign w:val="bottom"/>
            <w:tcBorders>
              <w:right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000" w:type="dxa"/>
            <w:vAlign w:val="bottom"/>
            <w:tcBorders>
              <w:bottom w:val="single" w:sz="8" w:color="auto"/>
              <w:right w:val="single" w:sz="8" w:color="auto"/>
            </w:tcBorders>
          </w:tcPr>
          <w:p>
            <w:pPr>
              <w:spacing w:after="0"/>
              <w:rPr>
                <w:sz w:val="19"/>
                <w:szCs w:val="19"/>
                <w:color w:val="auto"/>
              </w:rPr>
            </w:pPr>
          </w:p>
        </w:tc>
        <w:tc>
          <w:tcPr>
            <w:tcW w:w="4560" w:type="dxa"/>
            <w:vAlign w:val="bottom"/>
            <w:tcBorders>
              <w:bottom w:val="single" w:sz="8" w:color="auto"/>
              <w:right w:val="single" w:sz="8" w:color="auto"/>
            </w:tcBorders>
            <w:gridSpan w:val="2"/>
          </w:tcPr>
          <w:p>
            <w:pPr>
              <w:spacing w:after="0"/>
              <w:rPr>
                <w:sz w:val="19"/>
                <w:szCs w:val="19"/>
                <w:color w:val="auto"/>
              </w:rPr>
            </w:pPr>
          </w:p>
        </w:tc>
        <w:tc>
          <w:tcPr>
            <w:tcW w:w="3020" w:type="dxa"/>
            <w:vAlign w:val="bottom"/>
            <w:tcBorders>
              <w:bottom w:val="single" w:sz="8" w:color="auto"/>
              <w:right w:val="single" w:sz="8" w:color="auto"/>
            </w:tcBorders>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gridSpan w:val="2"/>
          </w:tcPr>
          <w:p>
            <w:pPr>
              <w:ind w:left="80"/>
              <w:spacing w:after="0" w:line="208" w:lineRule="exact"/>
              <w:rPr>
                <w:sz w:val="20"/>
                <w:szCs w:val="20"/>
                <w:color w:val="auto"/>
              </w:rPr>
            </w:pPr>
            <w:r>
              <w:rPr>
                <w:rFonts w:ascii="Arial" w:cs="Arial" w:eastAsia="Arial" w:hAnsi="Arial"/>
                <w:sz w:val="21"/>
                <w:szCs w:val="21"/>
                <w:color w:val="auto"/>
              </w:rPr>
              <w:t>EPI - Protecção de cabeça, olhos, audição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"3926.90,6307.90, 6505,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e respiratória incluindo, os descritos nos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6506.10,6812.80, 6812.91,</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códigos HS: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9004.90, 9020, 9602"</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3926</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Escudo protector para soldadores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de material plástico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6307</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Máscara do cirurgião, máscara sem</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filtros feitos de materiais têxteis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6505</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Redes de cabelo de qualquer material</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(para uso cirúrgico, de laboratório, etc.),</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excepto para fins de moda.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6506</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Equipamento de cabeça de aviadores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incorporando fones de ouvido sem microfone,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capacete de bombeiro, capacete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de construção, etc.</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vMerge w:val="restart"/>
          </w:tcPr>
          <w:p>
            <w:pPr>
              <w:jc w:val="center"/>
              <w:ind w:right="17"/>
              <w:spacing w:after="0"/>
              <w:rPr>
                <w:sz w:val="20"/>
                <w:szCs w:val="20"/>
                <w:color w:val="auto"/>
              </w:rPr>
            </w:pPr>
            <w:r>
              <w:rPr>
                <w:rFonts w:ascii="Arial" w:cs="Arial" w:eastAsia="Arial" w:hAnsi="Arial"/>
                <w:sz w:val="21"/>
                <w:szCs w:val="21"/>
                <w:b w:val="1"/>
                <w:bCs w:val="1"/>
                <w:color w:val="auto"/>
                <w:w w:val="95"/>
              </w:rPr>
              <w:t>XI-02</w:t>
            </w: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6812</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Equipamentos para a cabeça, máscaras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vMerge w:val="continue"/>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(geralmente com oculares de mica),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de amianto crocidolita e outros materiais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de amianto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9004</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Óculos de protecção para os olhos.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9020</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Máscaras de gás ou respirador</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equipado com filtro substituível incluindo suas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partes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9602</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Tampões de ouvido de cera sobre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gridSpan w:val="2"/>
          </w:tcPr>
          <w:p>
            <w:pPr>
              <w:ind w:left="80"/>
              <w:spacing w:after="0"/>
              <w:rPr>
                <w:sz w:val="20"/>
                <w:szCs w:val="20"/>
                <w:color w:val="auto"/>
              </w:rPr>
            </w:pPr>
            <w:r>
              <w:rPr>
                <w:rFonts w:ascii="Arial" w:cs="Arial" w:eastAsia="Arial" w:hAnsi="Arial"/>
                <w:sz w:val="21"/>
                <w:szCs w:val="21"/>
                <w:color w:val="auto"/>
              </w:rPr>
              <w:t>suporte de algodão</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gridSpan w:val="2"/>
          </w:tcPr>
          <w:p>
            <w:pPr>
              <w:ind w:left="80"/>
              <w:spacing w:after="0" w:line="209" w:lineRule="exact"/>
              <w:rPr>
                <w:sz w:val="20"/>
                <w:szCs w:val="20"/>
                <w:color w:val="auto"/>
              </w:rPr>
            </w:pPr>
            <w:r>
              <w:rPr>
                <w:rFonts w:ascii="Arial" w:cs="Arial" w:eastAsia="Arial" w:hAnsi="Arial"/>
                <w:sz w:val="21"/>
                <w:szCs w:val="21"/>
                <w:color w:val="auto"/>
              </w:rPr>
              <w:t>EPI - Protecção para corpo, mão e braço</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"3926.20, 3926.90, 4015,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incluíndo, os descritos nos códigos HS: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6114, 6116,6211,6307.20,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vMerge w:val="restart"/>
          </w:tcPr>
          <w:p>
            <w:pPr>
              <w:jc w:val="center"/>
              <w:ind w:right="17"/>
              <w:spacing w:after="0"/>
              <w:rPr>
                <w:sz w:val="20"/>
                <w:szCs w:val="20"/>
                <w:color w:val="auto"/>
              </w:rPr>
            </w:pPr>
            <w:r>
              <w:rPr>
                <w:rFonts w:ascii="Arial" w:cs="Arial" w:eastAsia="Arial" w:hAnsi="Arial"/>
                <w:sz w:val="21"/>
                <w:szCs w:val="21"/>
                <w:b w:val="1"/>
                <w:bCs w:val="1"/>
                <w:color w:val="auto"/>
                <w:w w:val="95"/>
              </w:rPr>
              <w:t>XI-03</w:t>
            </w: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3926</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luvas, aventais e capas de chuva</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6812.80,6812.91"</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vMerge w:val="continue"/>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de material plástico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560" w:type="dxa"/>
            <w:vAlign w:val="bottom"/>
          </w:tcPr>
          <w:p>
            <w:pPr>
              <w:ind w:left="80"/>
              <w:spacing w:after="0" w:line="238" w:lineRule="exact"/>
              <w:rPr>
                <w:sz w:val="20"/>
                <w:szCs w:val="20"/>
                <w:color w:val="auto"/>
              </w:rPr>
            </w:pPr>
            <w:r>
              <w:rPr>
                <w:rFonts w:ascii="Arial" w:cs="Arial" w:eastAsia="Arial" w:hAnsi="Arial"/>
                <w:sz w:val="21"/>
                <w:szCs w:val="21"/>
                <w:color w:val="auto"/>
                <w:w w:val="98"/>
              </w:rPr>
              <w:t>4015</w:t>
            </w:r>
          </w:p>
        </w:tc>
        <w:tc>
          <w:tcPr>
            <w:tcW w:w="4000" w:type="dxa"/>
            <w:vAlign w:val="bottom"/>
            <w:tcBorders>
              <w:right w:val="single" w:sz="8" w:color="auto"/>
            </w:tcBorders>
          </w:tcPr>
          <w:p>
            <w:pPr>
              <w:ind w:left="40"/>
              <w:spacing w:after="0" w:line="238" w:lineRule="exact"/>
              <w:rPr>
                <w:sz w:val="20"/>
                <w:szCs w:val="20"/>
                <w:color w:val="auto"/>
              </w:rPr>
            </w:pPr>
            <w:r>
              <w:rPr>
                <w:rFonts w:ascii="Arial" w:cs="Arial" w:eastAsia="Arial" w:hAnsi="Arial"/>
                <w:sz w:val="21"/>
                <w:szCs w:val="21"/>
                <w:color w:val="auto"/>
              </w:rPr>
              <w:t>- Luvas cirúrgicas, luvas domésticas,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luvas industriais, luvas isolantes etc.,</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gridSpan w:val="2"/>
          </w:tcPr>
          <w:p>
            <w:pPr>
              <w:ind w:left="80"/>
              <w:spacing w:after="0" w:line="238" w:lineRule="exact"/>
              <w:rPr>
                <w:sz w:val="20"/>
                <w:szCs w:val="20"/>
                <w:color w:val="auto"/>
              </w:rPr>
            </w:pPr>
            <w:r>
              <w:rPr>
                <w:rFonts w:ascii="Arial" w:cs="Arial" w:eastAsia="Arial" w:hAnsi="Arial"/>
                <w:sz w:val="21"/>
                <w:szCs w:val="21"/>
                <w:color w:val="auto"/>
              </w:rPr>
              <w:t>de material de borracha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1"/>
        </w:trPr>
        <w:tc>
          <w:tcPr>
            <w:tcW w:w="118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1000" w:type="dxa"/>
            <w:vAlign w:val="bottom"/>
            <w:tcBorders>
              <w:bottom w:val="single" w:sz="8" w:color="auto"/>
              <w:right w:val="single" w:sz="8" w:color="auto"/>
            </w:tcBorders>
          </w:tcPr>
          <w:p>
            <w:pPr>
              <w:spacing w:after="0"/>
              <w:rPr>
                <w:sz w:val="21"/>
                <w:szCs w:val="21"/>
                <w:color w:val="auto"/>
              </w:rPr>
            </w:pPr>
          </w:p>
        </w:tc>
        <w:tc>
          <w:tcPr>
            <w:tcW w:w="560" w:type="dxa"/>
            <w:vAlign w:val="bottom"/>
            <w:tcBorders>
              <w:bottom w:val="single" w:sz="8" w:color="auto"/>
            </w:tcBorders>
          </w:tcPr>
          <w:p>
            <w:pPr>
              <w:ind w:left="80"/>
              <w:spacing w:after="0"/>
              <w:rPr>
                <w:sz w:val="20"/>
                <w:szCs w:val="20"/>
                <w:color w:val="auto"/>
              </w:rPr>
            </w:pPr>
            <w:r>
              <w:rPr>
                <w:rFonts w:ascii="Arial" w:cs="Arial" w:eastAsia="Arial" w:hAnsi="Arial"/>
                <w:sz w:val="21"/>
                <w:szCs w:val="21"/>
                <w:color w:val="auto"/>
                <w:w w:val="98"/>
              </w:rPr>
              <w:t>6114</w:t>
            </w:r>
          </w:p>
        </w:tc>
        <w:tc>
          <w:tcPr>
            <w:tcW w:w="4000" w:type="dxa"/>
            <w:vAlign w:val="bottom"/>
            <w:tcBorders>
              <w:bottom w:val="single" w:sz="8" w:color="auto"/>
              <w:right w:val="single" w:sz="8" w:color="auto"/>
            </w:tcBorders>
          </w:tcPr>
          <w:p>
            <w:pPr>
              <w:ind w:left="40"/>
              <w:spacing w:after="0"/>
              <w:rPr>
                <w:sz w:val="20"/>
                <w:szCs w:val="20"/>
                <w:color w:val="auto"/>
              </w:rPr>
            </w:pPr>
            <w:r>
              <w:rPr>
                <w:rFonts w:ascii="Arial" w:cs="Arial" w:eastAsia="Arial" w:hAnsi="Arial"/>
                <w:sz w:val="21"/>
                <w:szCs w:val="21"/>
                <w:color w:val="auto"/>
              </w:rPr>
              <w:t>- Macacões de malha e roupas</w:t>
            </w:r>
          </w:p>
        </w:tc>
        <w:tc>
          <w:tcPr>
            <w:tcW w:w="3020" w:type="dxa"/>
            <w:vAlign w:val="bottom"/>
            <w:tcBorders>
              <w:bottom w:val="single" w:sz="8" w:color="auto"/>
              <w:right w:val="single" w:sz="8" w:color="auto"/>
            </w:tcBorders>
          </w:tcPr>
          <w:p>
            <w:pPr>
              <w:spacing w:after="0"/>
              <w:rPr>
                <w:sz w:val="21"/>
                <w:szCs w:val="21"/>
                <w:color w:val="auto"/>
              </w:rPr>
            </w:pPr>
          </w:p>
        </w:tc>
        <w:tc>
          <w:tcPr>
            <w:tcW w:w="680" w:type="dxa"/>
            <w:vAlign w:val="bottom"/>
          </w:tcPr>
          <w:p>
            <w:pPr>
              <w:spacing w:after="0"/>
              <w:rPr>
                <w:sz w:val="21"/>
                <w:szCs w:val="21"/>
                <w:color w:val="auto"/>
              </w:rPr>
            </w:pPr>
          </w:p>
        </w:tc>
        <w:tc>
          <w:tcPr>
            <w:tcW w:w="0" w:type="dxa"/>
            <w:vAlign w:val="bottom"/>
          </w:tcPr>
          <w:p>
            <w:pPr>
              <w:spacing w:after="0"/>
              <w:rPr>
                <w:sz w:val="1"/>
                <w:szCs w:val="1"/>
                <w:color w:val="auto"/>
              </w:rPr>
            </w:pPr>
          </w:p>
        </w:tc>
      </w:tr>
    </w:tbl>
    <w:p>
      <w:pPr>
        <w:sectPr>
          <w:pgSz w:w="11900" w:h="16838" w:orient="portrait"/>
          <w:cols w:equalWidth="0" w:num="1">
            <w:col w:w="10520"/>
          </w:cols>
          <w:pgMar w:left="680" w:top="803" w:right="706" w:bottom="1440" w:gutter="0" w:footer="0" w:header="0"/>
        </w:sectPr>
      </w:pPr>
    </w:p>
    <w:bookmarkStart w:id="20" w:name="page21"/>
    <w:bookmarkEnd w:id="20"/>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260" w:type="dxa"/>
            <w:vAlign w:val="bottom"/>
            <w:gridSpan w:val="3"/>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560" w:type="dxa"/>
            <w:vAlign w:val="bottom"/>
          </w:tcPr>
          <w:p>
            <w:pPr>
              <w:spacing w:after="0"/>
              <w:rPr>
                <w:sz w:val="19"/>
                <w:szCs w:val="19"/>
                <w:color w:val="auto"/>
              </w:rPr>
            </w:pPr>
          </w:p>
        </w:tc>
        <w:tc>
          <w:tcPr>
            <w:tcW w:w="3700" w:type="dxa"/>
            <w:vAlign w:val="bottom"/>
            <w:gridSpan w:val="2"/>
          </w:tcPr>
          <w:p>
            <w:pPr>
              <w:ind w:left="3400"/>
              <w:spacing w:after="0"/>
              <w:rPr>
                <w:sz w:val="20"/>
                <w:szCs w:val="20"/>
                <w:color w:val="auto"/>
              </w:rPr>
            </w:pPr>
            <w:r>
              <w:rPr>
                <w:rFonts w:ascii="Times New Roman" w:cs="Times New Roman" w:eastAsia="Times New Roman" w:hAnsi="Times New Roman"/>
                <w:sz w:val="20"/>
                <w:szCs w:val="20"/>
                <w:color w:val="auto"/>
                <w:w w:val="93"/>
              </w:rPr>
              <w:t>365</w:t>
            </w:r>
          </w:p>
        </w:tc>
        <w:tc>
          <w:tcPr>
            <w:tcW w:w="0" w:type="dxa"/>
            <w:vAlign w:val="bottom"/>
          </w:tcPr>
          <w:p>
            <w:pPr>
              <w:spacing w:after="0"/>
              <w:rPr>
                <w:sz w:val="1"/>
                <w:szCs w:val="1"/>
                <w:color w:val="auto"/>
              </w:rPr>
            </w:pPr>
          </w:p>
        </w:tc>
      </w:tr>
      <w:tr>
        <w:trPr>
          <w:trHeight w:val="40"/>
        </w:trPr>
        <w:tc>
          <w:tcPr>
            <w:tcW w:w="118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100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87"/>
        </w:trPr>
        <w:tc>
          <w:tcPr>
            <w:tcW w:w="118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de protecção de algodão, fibras artificiais</w:t>
            </w:r>
          </w:p>
        </w:tc>
        <w:tc>
          <w:tcPr>
            <w:tcW w:w="3020" w:type="dxa"/>
            <w:vAlign w:val="bottom"/>
            <w:tcBorders>
              <w:right w:val="single" w:sz="8" w:color="auto"/>
            </w:tcBorders>
          </w:tcPr>
          <w:p>
            <w:pPr>
              <w:spacing w:after="0"/>
              <w:rPr>
                <w:sz w:val="18"/>
                <w:szCs w:val="18"/>
                <w:color w:val="auto"/>
              </w:rPr>
            </w:pP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outros materiais têxteis, por ex. lã</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6116 - Luvas de malha, mesmo impregnadas/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recobertas com borracha e/ou plástico (feitas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matérias têxteis)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6211 - Aventais, macacões feitos de materiais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têxteis não tricotados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6307 - Cintos salva-vidas, coletes salva-vidas,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arnês de mergulho em materiais têxteis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6812 - Aventais, roupas de combate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 incêndio, luvas, roupas de protecção, etc.</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amianto crocidolita e outros materiais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de amianto.</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EPI - Protecção para os pés incluindo,</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"6401.10,6401.92,6401.99,</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os descritos nos códigos HS: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6402.91,6403.40,6812.80,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6401 - Calçado impermeável, mesmo</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6812.91"</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vMerge w:val="restart"/>
          </w:tcPr>
          <w:p>
            <w:pPr>
              <w:jc w:val="center"/>
              <w:ind w:right="17"/>
              <w:spacing w:after="0"/>
              <w:rPr>
                <w:sz w:val="20"/>
                <w:szCs w:val="20"/>
                <w:color w:val="auto"/>
              </w:rPr>
            </w:pPr>
            <w:r>
              <w:rPr>
                <w:rFonts w:ascii="Arial" w:cs="Arial" w:eastAsia="Arial" w:hAnsi="Arial"/>
                <w:sz w:val="21"/>
                <w:szCs w:val="21"/>
                <w:b w:val="1"/>
                <w:bCs w:val="1"/>
                <w:color w:val="auto"/>
                <w:w w:val="95"/>
              </w:rPr>
              <w:t>XI-04</w:t>
            </w: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incorporando uma biqueira protectora de metal</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vMerge w:val="continue"/>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borracha ou plástico (pode ser parcialmente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feito de outro material têxtil, mas a borracha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o plástico devem ser visíveis a olho nu)</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6402 - Calçado com biqueira de metal</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protectora de borracha ou material plástico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6403 - Calçado com biqueira de metal</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material de couro superior</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6812 - Calçados de amianto crocidolita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outros materiais de amianto.</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tcBorders>
              <w:right w:val="single" w:sz="8" w:color="auto"/>
            </w:tcBorders>
            <w:vMerge w:val="restart"/>
          </w:tcPr>
          <w:p>
            <w:pPr>
              <w:jc w:val="center"/>
              <w:ind w:right="17"/>
              <w:spacing w:after="0"/>
              <w:rPr>
                <w:sz w:val="20"/>
                <w:szCs w:val="20"/>
                <w:color w:val="auto"/>
              </w:rPr>
            </w:pPr>
            <w:r>
              <w:rPr>
                <w:rFonts w:ascii="Arial" w:cs="Arial" w:eastAsia="Arial" w:hAnsi="Arial"/>
                <w:sz w:val="21"/>
                <w:szCs w:val="21"/>
                <w:b w:val="1"/>
                <w:bCs w:val="1"/>
                <w:color w:val="auto"/>
                <w:w w:val="95"/>
              </w:rPr>
              <w:t>XI-05</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Alarmes de incêndio, detectores de fumaça</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8531.10, 9022.29</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vMerge w:val="continue"/>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produtos semelhantes Incluindo alarmes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eléctricos e a bateria.</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80" w:type="dxa"/>
            <w:vAlign w:val="bottom"/>
            <w:tcBorders>
              <w:bottom w:val="single" w:sz="8" w:color="auto"/>
            </w:tcBorders>
            <w:shd w:val="clear" w:color="auto" w:fill="D9D9D9"/>
          </w:tcPr>
          <w:p>
            <w:pPr>
              <w:spacing w:after="0"/>
              <w:rPr>
                <w:sz w:val="19"/>
                <w:szCs w:val="19"/>
                <w:color w:val="auto"/>
              </w:rPr>
            </w:pPr>
          </w:p>
        </w:tc>
        <w:tc>
          <w:tcPr>
            <w:tcW w:w="1000" w:type="dxa"/>
            <w:vAlign w:val="bottom"/>
            <w:tcBorders>
              <w:bottom w:val="single" w:sz="8" w:color="auto"/>
              <w:right w:val="single" w:sz="8" w:color="D9D9D9"/>
            </w:tcBorders>
            <w:shd w:val="clear" w:color="auto" w:fill="D9D9D9"/>
          </w:tcPr>
          <w:p>
            <w:pPr>
              <w:spacing w:after="0"/>
              <w:rPr>
                <w:sz w:val="19"/>
                <w:szCs w:val="19"/>
                <w:color w:val="auto"/>
              </w:rPr>
            </w:pPr>
          </w:p>
        </w:tc>
        <w:tc>
          <w:tcPr>
            <w:tcW w:w="4560" w:type="dxa"/>
            <w:vAlign w:val="bottom"/>
            <w:tcBorders>
              <w:bottom w:val="single" w:sz="8" w:color="auto"/>
              <w:right w:val="single" w:sz="8" w:color="D9D9D9"/>
            </w:tcBorders>
            <w:shd w:val="clear" w:color="auto" w:fill="D9D9D9"/>
          </w:tcPr>
          <w:p>
            <w:pPr>
              <w:ind w:left="580"/>
              <w:spacing w:after="0" w:line="226" w:lineRule="exact"/>
              <w:rPr>
                <w:sz w:val="20"/>
                <w:szCs w:val="20"/>
                <w:color w:val="auto"/>
              </w:rPr>
            </w:pPr>
            <w:r>
              <w:rPr>
                <w:rFonts w:ascii="Arial" w:cs="Arial" w:eastAsia="Arial" w:hAnsi="Arial"/>
                <w:sz w:val="21"/>
                <w:szCs w:val="21"/>
                <w:b w:val="1"/>
                <w:bCs w:val="1"/>
                <w:color w:val="auto"/>
                <w:w w:val="97"/>
              </w:rPr>
              <w:t>Grupo XII – Artes, artesanato e produtos</w:t>
            </w:r>
          </w:p>
        </w:tc>
        <w:tc>
          <w:tcPr>
            <w:tcW w:w="3020" w:type="dxa"/>
            <w:vAlign w:val="bottom"/>
            <w:tcBorders>
              <w:bottom w:val="single" w:sz="8" w:color="auto"/>
              <w:right w:val="single" w:sz="8" w:color="auto"/>
            </w:tcBorders>
            <w:shd w:val="clear" w:color="auto" w:fill="D9D9D9"/>
          </w:tcPr>
          <w:p>
            <w:pPr>
              <w:ind w:left="60"/>
              <w:spacing w:after="0" w:line="226" w:lineRule="exact"/>
              <w:rPr>
                <w:sz w:val="20"/>
                <w:szCs w:val="20"/>
                <w:color w:val="auto"/>
              </w:rPr>
            </w:pPr>
            <w:r>
              <w:rPr>
                <w:rFonts w:ascii="Arial" w:cs="Arial" w:eastAsia="Arial" w:hAnsi="Arial"/>
                <w:sz w:val="21"/>
                <w:szCs w:val="21"/>
                <w:b w:val="1"/>
                <w:bCs w:val="1"/>
                <w:color w:val="auto"/>
              </w:rPr>
              <w:t>relacionados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8"/>
        </w:trPr>
        <w:tc>
          <w:tcPr>
            <w:tcW w:w="1180" w:type="dxa"/>
            <w:vAlign w:val="bottom"/>
            <w:tcBorders>
              <w:right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000" w:type="dxa"/>
            <w:vAlign w:val="bottom"/>
            <w:tcBorders>
              <w:bottom w:val="single" w:sz="8" w:color="auto"/>
              <w:right w:val="single" w:sz="8" w:color="auto"/>
            </w:tcBorders>
          </w:tcPr>
          <w:p>
            <w:pPr>
              <w:jc w:val="center"/>
              <w:ind w:right="17"/>
              <w:spacing w:after="0" w:line="228" w:lineRule="exact"/>
              <w:rPr>
                <w:sz w:val="20"/>
                <w:szCs w:val="20"/>
                <w:color w:val="auto"/>
              </w:rPr>
            </w:pPr>
            <w:r>
              <w:rPr>
                <w:rFonts w:ascii="Arial" w:cs="Arial" w:eastAsia="Arial" w:hAnsi="Arial"/>
                <w:sz w:val="21"/>
                <w:szCs w:val="21"/>
                <w:b w:val="1"/>
                <w:bCs w:val="1"/>
                <w:color w:val="auto"/>
                <w:w w:val="99"/>
              </w:rPr>
              <w:t>XII-01</w:t>
            </w:r>
          </w:p>
        </w:tc>
        <w:tc>
          <w:tcPr>
            <w:tcW w:w="4560" w:type="dxa"/>
            <w:vAlign w:val="bottom"/>
            <w:tcBorders>
              <w:bottom w:val="single" w:sz="8" w:color="auto"/>
              <w:right w:val="single" w:sz="8" w:color="auto"/>
            </w:tcBorders>
          </w:tcPr>
          <w:p>
            <w:pPr>
              <w:ind w:left="80"/>
              <w:spacing w:after="0" w:line="228" w:lineRule="exact"/>
              <w:rPr>
                <w:sz w:val="20"/>
                <w:szCs w:val="20"/>
                <w:color w:val="auto"/>
              </w:rPr>
            </w:pPr>
            <w:r>
              <w:rPr>
                <w:rFonts w:ascii="Arial" w:cs="Arial" w:eastAsia="Arial" w:hAnsi="Arial"/>
                <w:sz w:val="21"/>
                <w:szCs w:val="21"/>
                <w:color w:val="auto"/>
              </w:rPr>
              <w:t>Bijuterias e produtos de adorno pessoal</w:t>
            </w:r>
          </w:p>
        </w:tc>
        <w:tc>
          <w:tcPr>
            <w:tcW w:w="3020" w:type="dxa"/>
            <w:vAlign w:val="bottom"/>
            <w:tcBorders>
              <w:bottom w:val="single" w:sz="8" w:color="auto"/>
              <w:right w:val="single" w:sz="8" w:color="auto"/>
            </w:tcBorders>
          </w:tcPr>
          <w:p>
            <w:pPr>
              <w:ind w:left="80"/>
              <w:spacing w:after="0" w:line="228" w:lineRule="exact"/>
              <w:rPr>
                <w:sz w:val="20"/>
                <w:szCs w:val="20"/>
                <w:color w:val="auto"/>
              </w:rPr>
            </w:pPr>
            <w:r>
              <w:rPr>
                <w:rFonts w:ascii="Arial" w:cs="Arial" w:eastAsia="Arial" w:hAnsi="Arial"/>
                <w:sz w:val="21"/>
                <w:szCs w:val="21"/>
                <w:color w:val="auto"/>
              </w:rPr>
              <w:t>7117</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75"/>
        </w:trPr>
        <w:tc>
          <w:tcPr>
            <w:tcW w:w="1180" w:type="dxa"/>
            <w:vAlign w:val="bottom"/>
            <w:tcBorders>
              <w:right w:val="single" w:sz="8" w:color="auto"/>
            </w:tcBorders>
          </w:tcPr>
          <w:p>
            <w:pPr>
              <w:spacing w:after="0"/>
              <w:rPr>
                <w:sz w:val="23"/>
                <w:szCs w:val="23"/>
                <w:color w:val="auto"/>
              </w:rPr>
            </w:pPr>
          </w:p>
        </w:tc>
        <w:tc>
          <w:tcPr>
            <w:tcW w:w="80" w:type="dxa"/>
            <w:vAlign w:val="bottom"/>
            <w:shd w:val="clear" w:color="auto" w:fill="D9D9D9"/>
          </w:tcPr>
          <w:p>
            <w:pPr>
              <w:spacing w:after="0"/>
              <w:rPr>
                <w:sz w:val="23"/>
                <w:szCs w:val="23"/>
                <w:color w:val="auto"/>
              </w:rPr>
            </w:pPr>
          </w:p>
        </w:tc>
        <w:tc>
          <w:tcPr>
            <w:tcW w:w="1000" w:type="dxa"/>
            <w:vAlign w:val="bottom"/>
            <w:tcBorders>
              <w:right w:val="single" w:sz="8" w:color="D9D9D9"/>
            </w:tcBorders>
            <w:shd w:val="clear" w:color="auto" w:fill="D9D9D9"/>
          </w:tcPr>
          <w:p>
            <w:pPr>
              <w:spacing w:after="0"/>
              <w:rPr>
                <w:sz w:val="23"/>
                <w:szCs w:val="23"/>
                <w:color w:val="auto"/>
              </w:rPr>
            </w:pPr>
          </w:p>
        </w:tc>
        <w:tc>
          <w:tcPr>
            <w:tcW w:w="7580" w:type="dxa"/>
            <w:vAlign w:val="bottom"/>
            <w:tcBorders>
              <w:right w:val="single" w:sz="8" w:color="auto"/>
            </w:tcBorders>
            <w:gridSpan w:val="2"/>
            <w:shd w:val="clear" w:color="auto" w:fill="D9D9D9"/>
          </w:tcPr>
          <w:p>
            <w:pPr>
              <w:ind w:left="900"/>
              <w:spacing w:after="0"/>
              <w:rPr>
                <w:sz w:val="20"/>
                <w:szCs w:val="20"/>
                <w:color w:val="auto"/>
              </w:rPr>
            </w:pPr>
            <w:r>
              <w:rPr>
                <w:rFonts w:ascii="Arial" w:cs="Arial" w:eastAsia="Arial" w:hAnsi="Arial"/>
                <w:sz w:val="21"/>
                <w:szCs w:val="21"/>
                <w:b w:val="1"/>
                <w:bCs w:val="1"/>
                <w:color w:val="auto"/>
              </w:rPr>
              <w:t>Grupo XIII – Alimentos e produtos relacionados</w:t>
            </w: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69"/>
        </w:trPr>
        <w:tc>
          <w:tcPr>
            <w:tcW w:w="1180" w:type="dxa"/>
            <w:vAlign w:val="bottom"/>
            <w:tcBorders>
              <w:right w:val="single" w:sz="8" w:color="auto"/>
            </w:tcBorders>
          </w:tcPr>
          <w:p>
            <w:pPr>
              <w:spacing w:after="0"/>
              <w:rPr>
                <w:sz w:val="6"/>
                <w:szCs w:val="6"/>
                <w:color w:val="auto"/>
              </w:rPr>
            </w:pPr>
          </w:p>
        </w:tc>
        <w:tc>
          <w:tcPr>
            <w:tcW w:w="80" w:type="dxa"/>
            <w:vAlign w:val="bottom"/>
            <w:tcBorders>
              <w:bottom w:val="single" w:sz="8" w:color="auto"/>
            </w:tcBorders>
            <w:shd w:val="clear" w:color="auto" w:fill="D9D9D9"/>
          </w:tcPr>
          <w:p>
            <w:pPr>
              <w:spacing w:after="0"/>
              <w:rPr>
                <w:sz w:val="6"/>
                <w:szCs w:val="6"/>
                <w:color w:val="auto"/>
              </w:rPr>
            </w:pPr>
          </w:p>
        </w:tc>
        <w:tc>
          <w:tcPr>
            <w:tcW w:w="1000" w:type="dxa"/>
            <w:vAlign w:val="bottom"/>
            <w:tcBorders>
              <w:bottom w:val="single" w:sz="8" w:color="auto"/>
              <w:right w:val="single" w:sz="8" w:color="D9D9D9"/>
            </w:tcBorders>
            <w:shd w:val="clear" w:color="auto" w:fill="D9D9D9"/>
          </w:tcPr>
          <w:p>
            <w:pPr>
              <w:spacing w:after="0"/>
              <w:rPr>
                <w:sz w:val="6"/>
                <w:szCs w:val="6"/>
                <w:color w:val="auto"/>
              </w:rPr>
            </w:pPr>
          </w:p>
        </w:tc>
        <w:tc>
          <w:tcPr>
            <w:tcW w:w="7580" w:type="dxa"/>
            <w:vAlign w:val="bottom"/>
            <w:tcBorders>
              <w:bottom w:val="single" w:sz="8" w:color="auto"/>
              <w:right w:val="single" w:sz="8" w:color="auto"/>
            </w:tcBorders>
            <w:gridSpan w:val="2"/>
            <w:shd w:val="clear" w:color="auto" w:fill="D9D9D9"/>
          </w:tcPr>
          <w:p>
            <w:pPr>
              <w:spacing w:after="0"/>
              <w:rPr>
                <w:sz w:val="6"/>
                <w:szCs w:val="6"/>
                <w:color w:val="auto"/>
              </w:rPr>
            </w:pPr>
          </w:p>
        </w:tc>
        <w:tc>
          <w:tcPr>
            <w:tcW w:w="6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7580" w:type="dxa"/>
            <w:vAlign w:val="bottom"/>
            <w:tcBorders>
              <w:bottom w:val="single" w:sz="8" w:color="auto"/>
              <w:right w:val="single" w:sz="8" w:color="auto"/>
            </w:tcBorders>
            <w:gridSpan w:val="2"/>
          </w:tcPr>
          <w:p>
            <w:pPr>
              <w:ind w:left="1400"/>
              <w:spacing w:after="0" w:line="226" w:lineRule="exact"/>
              <w:rPr>
                <w:sz w:val="20"/>
                <w:szCs w:val="20"/>
                <w:color w:val="auto"/>
              </w:rPr>
            </w:pPr>
            <w:r>
              <w:rPr>
                <w:rFonts w:ascii="Arial" w:cs="Arial" w:eastAsia="Arial" w:hAnsi="Arial"/>
                <w:sz w:val="21"/>
                <w:szCs w:val="21"/>
                <w:b w:val="1"/>
                <w:bCs w:val="1"/>
                <w:color w:val="auto"/>
              </w:rPr>
              <w:t>Cereais, tuberculos e seus derivados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000" w:type="dxa"/>
            <w:vAlign w:val="bottom"/>
            <w:tcBorders>
              <w:bottom w:val="single" w:sz="8" w:color="auto"/>
              <w:right w:val="single" w:sz="8" w:color="auto"/>
            </w:tcBorders>
          </w:tcPr>
          <w:p>
            <w:pPr>
              <w:jc w:val="center"/>
              <w:ind w:right="17"/>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tcBorders>
              <w:right w:val="single" w:sz="8" w:color="auto"/>
            </w:tcBorders>
          </w:tcPr>
          <w:p>
            <w:pPr>
              <w:jc w:val="center"/>
              <w:ind w:right="17"/>
              <w:spacing w:after="0" w:line="211" w:lineRule="exact"/>
              <w:rPr>
                <w:sz w:val="20"/>
                <w:szCs w:val="20"/>
                <w:color w:val="auto"/>
              </w:rPr>
            </w:pPr>
            <w:r>
              <w:rPr>
                <w:rFonts w:ascii="Arial" w:cs="Arial" w:eastAsia="Arial" w:hAnsi="Arial"/>
                <w:sz w:val="21"/>
                <w:szCs w:val="21"/>
                <w:b w:val="1"/>
                <w:bCs w:val="1"/>
                <w:color w:val="auto"/>
                <w:w w:val="96"/>
              </w:rPr>
              <w:t>XIII-01</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Grãos de cereais, incluindo grãos na espiga</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1001,1002,1003,1004,1005,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ou no talo.</w:t>
            </w: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1006,1007,1008</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tcBorders>
              <w:right w:val="single" w:sz="8" w:color="auto"/>
            </w:tcBorders>
          </w:tcPr>
          <w:p>
            <w:pPr>
              <w:jc w:val="center"/>
              <w:ind w:right="17"/>
              <w:spacing w:after="0" w:line="208" w:lineRule="exact"/>
              <w:rPr>
                <w:sz w:val="20"/>
                <w:szCs w:val="20"/>
                <w:color w:val="auto"/>
              </w:rPr>
            </w:pPr>
            <w:r>
              <w:rPr>
                <w:rFonts w:ascii="Arial" w:cs="Arial" w:eastAsia="Arial" w:hAnsi="Arial"/>
                <w:sz w:val="21"/>
                <w:szCs w:val="21"/>
                <w:b w:val="1"/>
                <w:bCs w:val="1"/>
                <w:color w:val="auto"/>
                <w:w w:val="96"/>
              </w:rPr>
              <w:t>XIII-02</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Massas, farinhas e produtos derivados de</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1101,1102,1103,1104,1105,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cereais, leguminosas e tubérculos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1106,1107,1108,1109,1901,</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semelhantes, produtos da indústria de</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1902,1903,1904</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moagem, preparações alimentícias de farinha,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sêmola, refeições, amido, etc. (incluindo para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crianças), massas cozidas e não, com e sem</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recheio, contendo ou não ovos (por exemplo,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frescos nhoque, ravióli congelado, esparguete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cru, macarrão instantâneo ou massa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2"/>
        </w:trPr>
        <w:tc>
          <w:tcPr>
            <w:tcW w:w="1180" w:type="dxa"/>
            <w:vAlign w:val="bottom"/>
            <w:tcBorders>
              <w:right w:val="single" w:sz="8" w:color="auto"/>
            </w:tcBorders>
          </w:tcPr>
          <w:p>
            <w:pPr>
              <w:spacing w:after="0"/>
              <w:rPr>
                <w:sz w:val="21"/>
                <w:szCs w:val="21"/>
                <w:color w:val="auto"/>
              </w:rPr>
            </w:pPr>
          </w:p>
        </w:tc>
        <w:tc>
          <w:tcPr>
            <w:tcW w:w="80" w:type="dxa"/>
            <w:vAlign w:val="bottom"/>
          </w:tcPr>
          <w:p>
            <w:pPr>
              <w:spacing w:after="0"/>
              <w:rPr>
                <w:sz w:val="21"/>
                <w:szCs w:val="21"/>
                <w:color w:val="auto"/>
              </w:rPr>
            </w:pPr>
          </w:p>
        </w:tc>
        <w:tc>
          <w:tcPr>
            <w:tcW w:w="1000" w:type="dxa"/>
            <w:vAlign w:val="bottom"/>
            <w:tcBorders>
              <w:right w:val="single" w:sz="8" w:color="auto"/>
            </w:tcBorders>
          </w:tcPr>
          <w:p>
            <w:pPr>
              <w:spacing w:after="0"/>
              <w:rPr>
                <w:sz w:val="21"/>
                <w:szCs w:val="21"/>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instantânea, etc.)</w:t>
            </w:r>
          </w:p>
        </w:tc>
        <w:tc>
          <w:tcPr>
            <w:tcW w:w="3020" w:type="dxa"/>
            <w:vAlign w:val="bottom"/>
            <w:tcBorders>
              <w:right w:val="single" w:sz="8" w:color="auto"/>
            </w:tcBorders>
          </w:tcPr>
          <w:p>
            <w:pPr>
              <w:spacing w:after="0"/>
              <w:rPr>
                <w:sz w:val="21"/>
                <w:szCs w:val="21"/>
                <w:color w:val="auto"/>
              </w:rPr>
            </w:pPr>
          </w:p>
        </w:tc>
        <w:tc>
          <w:tcPr>
            <w:tcW w:w="680" w:type="dxa"/>
            <w:vAlign w:val="bottom"/>
          </w:tcPr>
          <w:p>
            <w:pPr>
              <w:spacing w:after="0"/>
              <w:rPr>
                <w:sz w:val="21"/>
                <w:szCs w:val="2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-431165</wp:posOffset>
            </wp:positionH>
            <wp:positionV relativeFrom="paragraph">
              <wp:posOffset>2747010</wp:posOffset>
            </wp:positionV>
            <wp:extent cx="4763" cy="4763"/>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extLst>
                    </a:blip>
                    <a:srcRect/>
                    <a:stretch>
                      <a:fillRect/>
                    </a:stretch>
                  </pic:blipFill>
                  <pic:spPr bwMode="auto">
                    <a:xfrm>
                      <a:off x="0" y="0"/>
                      <a:ext cx="4763" cy="4763"/>
                    </a:xfrm>
                    <a:prstGeom prst="rect">
                      <a:avLst/>
                    </a:prstGeom>
                    <a:noFill/>
                  </pic:spPr>
                </pic:pic>
              </a:graphicData>
            </a:graphic>
          </wp:anchor>
        </w:drawing>
      </w:r>
    </w:p>
    <w:p>
      <w:pPr>
        <w:sectPr>
          <w:pgSz w:w="11900" w:h="16838" w:orient="portrait"/>
          <w:cols w:equalWidth="0" w:num="1">
            <w:col w:w="10520"/>
          </w:cols>
          <w:pgMar w:left="680" w:top="803" w:right="706" w:bottom="1440" w:gutter="0" w:footer="0" w:header="0"/>
        </w:sectPr>
      </w:pPr>
    </w:p>
    <w:bookmarkStart w:id="21" w:name="page22"/>
    <w:bookmarkEnd w:id="21"/>
    <w:tbl>
      <w:tblPr>
        <w:tblLayout w:type="fixed"/>
        <w:tblInd w:w="0" w:type="dxa"/>
        <w:tblCellMar>
          <w:top w:w="0" w:type="dxa"/>
          <w:left w:w="0" w:type="dxa"/>
          <w:bottom w:w="0" w:type="dxa"/>
          <w:right w:w="0" w:type="dxa"/>
        </w:tblCellMar>
      </w:tblPr>
      <w:tr>
        <w:trPr>
          <w:trHeight w:val="241"/>
        </w:trPr>
        <w:tc>
          <w:tcPr>
            <w:tcW w:w="1180" w:type="dxa"/>
            <w:vAlign w:val="bottom"/>
          </w:tcPr>
          <w:p>
            <w:pPr>
              <w:jc w:val="right"/>
              <w:ind w:right="780"/>
              <w:spacing w:after="0"/>
              <w:rPr>
                <w:sz w:val="20"/>
                <w:szCs w:val="20"/>
                <w:color w:val="auto"/>
              </w:rPr>
            </w:pPr>
            <w:r>
              <w:rPr>
                <w:rFonts w:ascii="Times New Roman" w:cs="Times New Roman" w:eastAsia="Times New Roman" w:hAnsi="Times New Roman"/>
                <w:sz w:val="20"/>
                <w:szCs w:val="20"/>
                <w:color w:val="auto"/>
                <w:w w:val="93"/>
              </w:rPr>
              <w:t>366</w:t>
            </w:r>
          </w:p>
        </w:tc>
        <w:tc>
          <w:tcPr>
            <w:tcW w:w="70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3700" w:type="dxa"/>
            <w:vAlign w:val="bottom"/>
            <w:gridSpan w:val="2"/>
          </w:tcPr>
          <w:p>
            <w:pPr>
              <w:ind w:left="1640"/>
              <w:spacing w:after="0"/>
              <w:rPr>
                <w:sz w:val="20"/>
                <w:szCs w:val="20"/>
                <w:color w:val="auto"/>
              </w:rPr>
            </w:pPr>
            <w:r>
              <w:rPr>
                <w:rFonts w:ascii="Times New Roman" w:cs="Times New Roman" w:eastAsia="Times New Roman" w:hAnsi="Times New Roman"/>
                <w:sz w:val="20"/>
                <w:szCs w:val="20"/>
                <w:i w:val="1"/>
                <w:iCs w:val="1"/>
                <w:color w:val="auto"/>
              </w:rPr>
              <w:t>I SÉRIE — NÚMERO 50</w:t>
            </w:r>
          </w:p>
        </w:tc>
        <w:tc>
          <w:tcPr>
            <w:tcW w:w="0" w:type="dxa"/>
            <w:vAlign w:val="bottom"/>
          </w:tcPr>
          <w:p>
            <w:pPr>
              <w:spacing w:after="0"/>
              <w:rPr>
                <w:sz w:val="1"/>
                <w:szCs w:val="1"/>
                <w:color w:val="auto"/>
              </w:rPr>
            </w:pPr>
          </w:p>
        </w:tc>
      </w:tr>
      <w:tr>
        <w:trPr>
          <w:trHeight w:val="40"/>
        </w:trPr>
        <w:tc>
          <w:tcPr>
            <w:tcW w:w="1180" w:type="dxa"/>
            <w:vAlign w:val="bottom"/>
            <w:tcBorders>
              <w:bottom w:val="single" w:sz="8" w:color="auto"/>
            </w:tcBorders>
          </w:tcPr>
          <w:p>
            <w:pPr>
              <w:spacing w:after="0"/>
              <w:rPr>
                <w:sz w:val="3"/>
                <w:szCs w:val="3"/>
                <w:color w:val="auto"/>
              </w:rPr>
            </w:pPr>
          </w:p>
        </w:tc>
        <w:tc>
          <w:tcPr>
            <w:tcW w:w="700" w:type="dxa"/>
            <w:vAlign w:val="bottom"/>
            <w:tcBorders>
              <w:bottom w:val="single" w:sz="8" w:color="auto"/>
            </w:tcBorders>
          </w:tcPr>
          <w:p>
            <w:pPr>
              <w:spacing w:after="0"/>
              <w:rPr>
                <w:sz w:val="3"/>
                <w:szCs w:val="3"/>
                <w:color w:val="auto"/>
              </w:rPr>
            </w:pPr>
          </w:p>
        </w:tc>
        <w:tc>
          <w:tcPr>
            <w:tcW w:w="38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6"/>
        </w:trPr>
        <w:tc>
          <w:tcPr>
            <w:tcW w:w="1180" w:type="dxa"/>
            <w:vAlign w:val="bottom"/>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vMerge w:val="restart"/>
          </w:tcPr>
          <w:p>
            <w:pPr>
              <w:spacing w:after="0"/>
              <w:rPr>
                <w:sz w:val="24"/>
                <w:szCs w:val="24"/>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700" w:type="dxa"/>
            <w:vAlign w:val="bottom"/>
            <w:tcBorders>
              <w:bottom w:val="single" w:sz="8" w:color="auto"/>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7580" w:type="dxa"/>
            <w:vAlign w:val="bottom"/>
            <w:tcBorders>
              <w:bottom w:val="single" w:sz="8" w:color="auto"/>
              <w:right w:val="single" w:sz="8" w:color="auto"/>
            </w:tcBorders>
            <w:gridSpan w:val="2"/>
          </w:tcPr>
          <w:p>
            <w:pPr>
              <w:ind w:left="1820"/>
              <w:spacing w:after="0" w:line="226" w:lineRule="exact"/>
              <w:rPr>
                <w:sz w:val="20"/>
                <w:szCs w:val="20"/>
                <w:color w:val="auto"/>
              </w:rPr>
            </w:pPr>
            <w:r>
              <w:rPr>
                <w:rFonts w:ascii="Arial" w:cs="Arial" w:eastAsia="Arial" w:hAnsi="Arial"/>
                <w:sz w:val="21"/>
                <w:szCs w:val="21"/>
                <w:b w:val="1"/>
                <w:bCs w:val="1"/>
                <w:color w:val="auto"/>
              </w:rPr>
              <w:t>Carne de animais e maríscos</w:t>
            </w:r>
          </w:p>
        </w:tc>
        <w:tc>
          <w:tcPr>
            <w:tcW w:w="6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700" w:type="dxa"/>
            <w:vAlign w:val="bottom"/>
            <w:tcBorders>
              <w:bottom w:val="single" w:sz="8" w:color="auto"/>
            </w:tcBorders>
          </w:tcPr>
          <w:p>
            <w:pPr>
              <w:jc w:val="center"/>
              <w:ind w:left="237"/>
              <w:spacing w:after="0" w:line="226" w:lineRule="exact"/>
              <w:rPr>
                <w:sz w:val="20"/>
                <w:szCs w:val="20"/>
                <w:color w:val="auto"/>
              </w:rPr>
            </w:pPr>
            <w:r>
              <w:rPr>
                <w:rFonts w:ascii="Arial" w:cs="Arial" w:eastAsia="Arial" w:hAnsi="Arial"/>
                <w:sz w:val="21"/>
                <w:szCs w:val="21"/>
                <w:b w:val="1"/>
                <w:bCs w:val="1"/>
                <w:color w:val="auto"/>
                <w:w w:val="95"/>
              </w:rPr>
              <w:t>NP</w:t>
            </w:r>
          </w:p>
        </w:tc>
        <w:tc>
          <w:tcPr>
            <w:tcW w:w="380" w:type="dxa"/>
            <w:vAlign w:val="bottom"/>
            <w:tcBorders>
              <w:bottom w:val="single" w:sz="8" w:color="auto"/>
              <w:right w:val="single" w:sz="8" w:color="auto"/>
            </w:tcBorders>
          </w:tcPr>
          <w:p>
            <w:pPr>
              <w:spacing w:after="0"/>
              <w:rPr>
                <w:sz w:val="19"/>
                <w:szCs w:val="19"/>
                <w:color w:val="auto"/>
              </w:rPr>
            </w:pP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gridSpan w:val="2"/>
          </w:tcPr>
          <w:p>
            <w:pPr>
              <w:jc w:val="center"/>
              <w:spacing w:after="0" w:line="208" w:lineRule="exact"/>
              <w:rPr>
                <w:sz w:val="20"/>
                <w:szCs w:val="20"/>
                <w:color w:val="auto"/>
              </w:rPr>
            </w:pPr>
            <w:r>
              <w:rPr>
                <w:rFonts w:ascii="Arial" w:cs="Arial" w:eastAsia="Arial" w:hAnsi="Arial"/>
                <w:sz w:val="21"/>
                <w:szCs w:val="21"/>
                <w:b w:val="1"/>
                <w:bCs w:val="1"/>
                <w:color w:val="auto"/>
                <w:w w:val="96"/>
              </w:rPr>
              <w:t>XIII-03</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Carne de animais e suas miudezas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"0202,0203,0204,0205,0206,</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700" w:type="dxa"/>
            <w:vAlign w:val="bottom"/>
            <w:tcBorders>
              <w:bottom w:val="single" w:sz="8" w:color="auto"/>
            </w:tcBorders>
          </w:tcPr>
          <w:p>
            <w:pPr>
              <w:spacing w:after="0"/>
              <w:rPr>
                <w:sz w:val="22"/>
                <w:szCs w:val="22"/>
                <w:color w:val="auto"/>
              </w:rPr>
            </w:pPr>
          </w:p>
        </w:tc>
        <w:tc>
          <w:tcPr>
            <w:tcW w:w="3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comestíveis - congelada</w:t>
            </w: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0207,0208"</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gridSpan w:val="2"/>
          </w:tcPr>
          <w:p>
            <w:pPr>
              <w:jc w:val="center"/>
              <w:spacing w:after="0" w:line="211" w:lineRule="exact"/>
              <w:rPr>
                <w:sz w:val="20"/>
                <w:szCs w:val="20"/>
                <w:color w:val="auto"/>
              </w:rPr>
            </w:pPr>
            <w:r>
              <w:rPr>
                <w:rFonts w:ascii="Arial" w:cs="Arial" w:eastAsia="Arial" w:hAnsi="Arial"/>
                <w:sz w:val="21"/>
                <w:szCs w:val="21"/>
                <w:b w:val="1"/>
                <w:bCs w:val="1"/>
                <w:color w:val="auto"/>
                <w:w w:val="96"/>
              </w:rPr>
              <w:t>XIII-04</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Produtos de carne animal preparados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1601, 1602</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conservados, Incluindo produtos enlatados,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700" w:type="dxa"/>
            <w:vAlign w:val="bottom"/>
            <w:tcBorders>
              <w:bottom w:val="single" w:sz="8" w:color="auto"/>
            </w:tcBorders>
          </w:tcPr>
          <w:p>
            <w:pPr>
              <w:spacing w:after="0"/>
              <w:rPr>
                <w:sz w:val="22"/>
                <w:szCs w:val="22"/>
                <w:color w:val="auto"/>
              </w:rPr>
            </w:pPr>
          </w:p>
        </w:tc>
        <w:tc>
          <w:tcPr>
            <w:tcW w:w="3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salsichas, salame, etc.</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gridSpan w:val="2"/>
          </w:tcPr>
          <w:p>
            <w:pPr>
              <w:jc w:val="center"/>
              <w:spacing w:after="0" w:line="208" w:lineRule="exact"/>
              <w:rPr>
                <w:sz w:val="20"/>
                <w:szCs w:val="20"/>
                <w:color w:val="auto"/>
              </w:rPr>
            </w:pPr>
            <w:r>
              <w:rPr>
                <w:rFonts w:ascii="Arial" w:cs="Arial" w:eastAsia="Arial" w:hAnsi="Arial"/>
                <w:sz w:val="21"/>
                <w:szCs w:val="21"/>
                <w:b w:val="1"/>
                <w:bCs w:val="1"/>
                <w:color w:val="auto"/>
                <w:w w:val="96"/>
              </w:rPr>
              <w:t>XIII-05</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Peixe - Congelado, seco, fumado e produtos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0303, 0304, 0305, 1604</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700" w:type="dxa"/>
            <w:vAlign w:val="bottom"/>
            <w:tcBorders>
              <w:bottom w:val="single" w:sz="8" w:color="auto"/>
            </w:tcBorders>
          </w:tcPr>
          <w:p>
            <w:pPr>
              <w:spacing w:after="0"/>
              <w:rPr>
                <w:sz w:val="22"/>
                <w:szCs w:val="22"/>
                <w:color w:val="auto"/>
              </w:rPr>
            </w:pPr>
          </w:p>
        </w:tc>
        <w:tc>
          <w:tcPr>
            <w:tcW w:w="3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similares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gridSpan w:val="2"/>
          </w:tcPr>
          <w:p>
            <w:pPr>
              <w:jc w:val="center"/>
              <w:spacing w:after="0" w:line="208" w:lineRule="exact"/>
              <w:rPr>
                <w:sz w:val="20"/>
                <w:szCs w:val="20"/>
                <w:color w:val="auto"/>
              </w:rPr>
            </w:pPr>
            <w:r>
              <w:rPr>
                <w:rFonts w:ascii="Arial" w:cs="Arial" w:eastAsia="Arial" w:hAnsi="Arial"/>
                <w:sz w:val="21"/>
                <w:szCs w:val="21"/>
                <w:b w:val="1"/>
                <w:bCs w:val="1"/>
                <w:color w:val="auto"/>
                <w:w w:val="96"/>
              </w:rPr>
              <w:t>XIII-06</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Crustáceos – Congelados incluindo, produtos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0306</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700" w:type="dxa"/>
            <w:vAlign w:val="bottom"/>
            <w:tcBorders>
              <w:bottom w:val="single" w:sz="8" w:color="auto"/>
            </w:tcBorders>
          </w:tcPr>
          <w:p>
            <w:pPr>
              <w:spacing w:after="0"/>
              <w:rPr>
                <w:sz w:val="22"/>
                <w:szCs w:val="22"/>
                <w:color w:val="auto"/>
              </w:rPr>
            </w:pPr>
          </w:p>
        </w:tc>
        <w:tc>
          <w:tcPr>
            <w:tcW w:w="3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preparados ou conservados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gridSpan w:val="2"/>
          </w:tcPr>
          <w:p>
            <w:pPr>
              <w:jc w:val="center"/>
              <w:spacing w:after="0" w:line="208" w:lineRule="exact"/>
              <w:rPr>
                <w:sz w:val="20"/>
                <w:szCs w:val="20"/>
                <w:color w:val="auto"/>
              </w:rPr>
            </w:pPr>
            <w:r>
              <w:rPr>
                <w:rFonts w:ascii="Arial" w:cs="Arial" w:eastAsia="Arial" w:hAnsi="Arial"/>
                <w:sz w:val="21"/>
                <w:szCs w:val="21"/>
                <w:b w:val="1"/>
                <w:bCs w:val="1"/>
                <w:color w:val="auto"/>
                <w:w w:val="96"/>
              </w:rPr>
              <w:t>XIII-07</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Moluscos e outros invertebrados aquáticos –</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0307</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700" w:type="dxa"/>
            <w:vAlign w:val="bottom"/>
            <w:tcBorders>
              <w:bottom w:val="single" w:sz="8" w:color="auto"/>
            </w:tcBorders>
          </w:tcPr>
          <w:p>
            <w:pPr>
              <w:spacing w:after="0"/>
              <w:rPr>
                <w:sz w:val="22"/>
                <w:szCs w:val="22"/>
                <w:color w:val="auto"/>
              </w:rPr>
            </w:pPr>
          </w:p>
        </w:tc>
        <w:tc>
          <w:tcPr>
            <w:tcW w:w="3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congelados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gridSpan w:val="2"/>
          </w:tcPr>
          <w:p>
            <w:pPr>
              <w:jc w:val="center"/>
              <w:spacing w:after="0" w:line="209" w:lineRule="exact"/>
              <w:rPr>
                <w:sz w:val="20"/>
                <w:szCs w:val="20"/>
                <w:color w:val="auto"/>
              </w:rPr>
            </w:pPr>
            <w:r>
              <w:rPr>
                <w:rFonts w:ascii="Arial" w:cs="Arial" w:eastAsia="Arial" w:hAnsi="Arial"/>
                <w:sz w:val="21"/>
                <w:szCs w:val="21"/>
                <w:b w:val="1"/>
                <w:bCs w:val="1"/>
                <w:color w:val="auto"/>
                <w:w w:val="96"/>
              </w:rPr>
              <w:t>XIII-08</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Produtos de frutos do mar preparados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1604, 1605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700" w:type="dxa"/>
            <w:vAlign w:val="bottom"/>
            <w:tcBorders>
              <w:bottom w:val="single" w:sz="8" w:color="auto"/>
            </w:tcBorders>
          </w:tcPr>
          <w:p>
            <w:pPr>
              <w:spacing w:after="0"/>
              <w:rPr>
                <w:sz w:val="22"/>
                <w:szCs w:val="22"/>
                <w:color w:val="auto"/>
              </w:rPr>
            </w:pPr>
          </w:p>
        </w:tc>
        <w:tc>
          <w:tcPr>
            <w:tcW w:w="3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conservados Incluindo, produtos enlatados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700" w:type="dxa"/>
            <w:vAlign w:val="bottom"/>
            <w:tcBorders>
              <w:bottom w:val="single" w:sz="8" w:color="auto"/>
            </w:tcBorders>
          </w:tcPr>
          <w:p>
            <w:pPr>
              <w:spacing w:after="0"/>
              <w:rPr>
                <w:sz w:val="19"/>
                <w:szCs w:val="19"/>
                <w:color w:val="auto"/>
              </w:rPr>
            </w:pPr>
          </w:p>
        </w:tc>
        <w:tc>
          <w:tcPr>
            <w:tcW w:w="7960" w:type="dxa"/>
            <w:vAlign w:val="bottom"/>
            <w:tcBorders>
              <w:bottom w:val="single" w:sz="8" w:color="auto"/>
              <w:right w:val="single" w:sz="8" w:color="auto"/>
            </w:tcBorders>
            <w:gridSpan w:val="3"/>
          </w:tcPr>
          <w:p>
            <w:pPr>
              <w:ind w:left="60"/>
              <w:spacing w:after="0" w:line="226" w:lineRule="exact"/>
              <w:rPr>
                <w:sz w:val="20"/>
                <w:szCs w:val="20"/>
                <w:color w:val="auto"/>
              </w:rPr>
            </w:pPr>
            <w:r>
              <w:rPr>
                <w:rFonts w:ascii="Arial" w:cs="Arial" w:eastAsia="Arial" w:hAnsi="Arial"/>
                <w:sz w:val="21"/>
                <w:szCs w:val="21"/>
                <w:b w:val="1"/>
                <w:bCs w:val="1"/>
                <w:color w:val="auto"/>
              </w:rPr>
              <w:t>Vegetais, frutas e nozes (incluindo as partes comestíveis de uma planta)</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8"/>
        </w:trPr>
        <w:tc>
          <w:tcPr>
            <w:tcW w:w="1180" w:type="dxa"/>
            <w:vAlign w:val="bottom"/>
            <w:tcBorders>
              <w:right w:val="single" w:sz="8" w:color="auto"/>
            </w:tcBorders>
          </w:tcPr>
          <w:p>
            <w:pPr>
              <w:spacing w:after="0"/>
              <w:rPr>
                <w:sz w:val="19"/>
                <w:szCs w:val="19"/>
                <w:color w:val="auto"/>
              </w:rPr>
            </w:pPr>
          </w:p>
        </w:tc>
        <w:tc>
          <w:tcPr>
            <w:tcW w:w="700" w:type="dxa"/>
            <w:vAlign w:val="bottom"/>
            <w:tcBorders>
              <w:bottom w:val="single" w:sz="8" w:color="auto"/>
            </w:tcBorders>
          </w:tcPr>
          <w:p>
            <w:pPr>
              <w:jc w:val="center"/>
              <w:ind w:left="237"/>
              <w:spacing w:after="0" w:line="228" w:lineRule="exact"/>
              <w:rPr>
                <w:sz w:val="20"/>
                <w:szCs w:val="20"/>
                <w:color w:val="auto"/>
              </w:rPr>
            </w:pPr>
            <w:r>
              <w:rPr>
                <w:rFonts w:ascii="Arial" w:cs="Arial" w:eastAsia="Arial" w:hAnsi="Arial"/>
                <w:sz w:val="21"/>
                <w:szCs w:val="21"/>
                <w:b w:val="1"/>
                <w:bCs w:val="1"/>
                <w:color w:val="auto"/>
                <w:w w:val="95"/>
              </w:rPr>
              <w:t>NP</w:t>
            </w:r>
          </w:p>
        </w:tc>
        <w:tc>
          <w:tcPr>
            <w:tcW w:w="380" w:type="dxa"/>
            <w:vAlign w:val="bottom"/>
            <w:tcBorders>
              <w:bottom w:val="single" w:sz="8" w:color="auto"/>
              <w:right w:val="single" w:sz="8" w:color="auto"/>
            </w:tcBorders>
          </w:tcPr>
          <w:p>
            <w:pPr>
              <w:spacing w:after="0"/>
              <w:rPr>
                <w:sz w:val="19"/>
                <w:szCs w:val="19"/>
                <w:color w:val="auto"/>
              </w:rPr>
            </w:pPr>
          </w:p>
        </w:tc>
        <w:tc>
          <w:tcPr>
            <w:tcW w:w="4560" w:type="dxa"/>
            <w:vAlign w:val="bottom"/>
            <w:tcBorders>
              <w:bottom w:val="single" w:sz="8" w:color="auto"/>
              <w:right w:val="single" w:sz="8" w:color="auto"/>
            </w:tcBorders>
          </w:tcPr>
          <w:p>
            <w:pPr>
              <w:ind w:left="1200"/>
              <w:spacing w:after="0" w:line="228"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8"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gridSpan w:val="2"/>
          </w:tcPr>
          <w:p>
            <w:pPr>
              <w:jc w:val="center"/>
              <w:spacing w:after="0" w:line="208" w:lineRule="exact"/>
              <w:rPr>
                <w:sz w:val="20"/>
                <w:szCs w:val="20"/>
                <w:color w:val="auto"/>
              </w:rPr>
            </w:pPr>
            <w:r>
              <w:rPr>
                <w:rFonts w:ascii="Arial" w:cs="Arial" w:eastAsia="Arial" w:hAnsi="Arial"/>
                <w:sz w:val="21"/>
                <w:szCs w:val="21"/>
                <w:b w:val="1"/>
                <w:bCs w:val="1"/>
                <w:color w:val="auto"/>
                <w:w w:val="96"/>
              </w:rPr>
              <w:t>XIII-09</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Vegetais, vegetais leguminosos, frutas e nozes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0710.10, 0710.21, 0710.22,</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(pode ser inteiro, fatiado, picado, desfiado,</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0710.29, 0710.30, 0710.40,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apedrejado, despolpado, ralado</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0710.80, 0710.90, 0811.10,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descascado.) - Congelados e secos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0811.20, 0811.90,0712.20,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os descritos no código HS: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0712.31, 0712.32,0712.33,</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0710 e 0811 – congelado incluindo vegetais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0712.39, 0712.90,0713.10,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mistos picados ou não, crus ou cozidos a vapor</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0713.20, 0713.31, 0713.32,</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fervura na água e depois congelada.</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0713.33, 0713.34, 0713.35,</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0712,0713,0801-06 - secos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0713.39, 0713.40, 0713.50,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0713.60, 0713.90,0801,</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0802,0803, 0804, 0805, 0806,</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700" w:type="dxa"/>
            <w:vAlign w:val="bottom"/>
            <w:tcBorders>
              <w:bottom w:val="single" w:sz="8" w:color="auto"/>
            </w:tcBorders>
          </w:tcPr>
          <w:p>
            <w:pPr>
              <w:spacing w:after="0"/>
              <w:rPr>
                <w:sz w:val="22"/>
                <w:szCs w:val="22"/>
                <w:color w:val="auto"/>
              </w:rPr>
            </w:pPr>
          </w:p>
        </w:tc>
        <w:tc>
          <w:tcPr>
            <w:tcW w:w="3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0813</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gridSpan w:val="2"/>
          </w:tcPr>
          <w:p>
            <w:pPr>
              <w:jc w:val="center"/>
              <w:spacing w:after="0" w:line="208" w:lineRule="exact"/>
              <w:rPr>
                <w:sz w:val="20"/>
                <w:szCs w:val="20"/>
                <w:color w:val="auto"/>
              </w:rPr>
            </w:pPr>
            <w:r>
              <w:rPr>
                <w:rFonts w:ascii="Arial" w:cs="Arial" w:eastAsia="Arial" w:hAnsi="Arial"/>
                <w:sz w:val="21"/>
                <w:szCs w:val="21"/>
                <w:b w:val="1"/>
                <w:bCs w:val="1"/>
                <w:color w:val="auto"/>
                <w:w w:val="96"/>
              </w:rPr>
              <w:t>XIII-10</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Legumes, frutas e nozes - Preparados ou</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2001, 2002, 2003, 2004, 2005,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conservados incluindo os descritos nos códigos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2006, 2007, 2008,</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HS: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0711.20, 0711.40, 0711.51,</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2001- Preparado ou preservado por vinagre</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0711.59, 0711.90, 0812.10,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ácido acético.</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0812.90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2002 á 2005- Preparados ou conservados,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excepto em vinagre ou ácido acético: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2002- Tomates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2003- Cogumelos e trufas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2004- Outros vegetais e congelados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2005- Outros vegetais, não congelados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2006- Preservado por açúcar</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2007- Compotas, geleias de frutas, etc.</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2008- Contendo ou não açúcar ou outro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adoçante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0711 - 0812: Não se destinam ao consumo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6"/>
        </w:trPr>
        <w:tc>
          <w:tcPr>
            <w:tcW w:w="1180" w:type="dxa"/>
            <w:vAlign w:val="bottom"/>
            <w:tcBorders>
              <w:right w:val="single" w:sz="8" w:color="auto"/>
            </w:tcBorders>
          </w:tcPr>
          <w:p>
            <w:pPr>
              <w:spacing w:after="0"/>
              <w:rPr>
                <w:sz w:val="20"/>
                <w:szCs w:val="20"/>
                <w:color w:val="auto"/>
              </w:rPr>
            </w:pPr>
          </w:p>
        </w:tc>
        <w:tc>
          <w:tcPr>
            <w:tcW w:w="700" w:type="dxa"/>
            <w:vAlign w:val="bottom"/>
          </w:tcPr>
          <w:p>
            <w:pPr>
              <w:spacing w:after="0"/>
              <w:rPr>
                <w:sz w:val="20"/>
                <w:szCs w:val="20"/>
                <w:color w:val="auto"/>
              </w:rPr>
            </w:pPr>
          </w:p>
        </w:tc>
        <w:tc>
          <w:tcPr>
            <w:tcW w:w="3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6" w:lineRule="exact"/>
              <w:rPr>
                <w:sz w:val="20"/>
                <w:szCs w:val="20"/>
                <w:color w:val="auto"/>
              </w:rPr>
            </w:pPr>
            <w:r>
              <w:rPr>
                <w:rFonts w:ascii="Arial" w:cs="Arial" w:eastAsia="Arial" w:hAnsi="Arial"/>
                <w:sz w:val="21"/>
                <w:szCs w:val="21"/>
                <w:color w:val="auto"/>
              </w:rPr>
              <w:t>imediato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-431165</wp:posOffset>
            </wp:positionH>
            <wp:positionV relativeFrom="paragraph">
              <wp:posOffset>2814955</wp:posOffset>
            </wp:positionV>
            <wp:extent cx="4763" cy="4763"/>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extLst>
                    </a:blip>
                    <a:srcRect/>
                    <a:stretch>
                      <a:fillRect/>
                    </a:stretch>
                  </pic:blipFill>
                  <pic:spPr bwMode="auto">
                    <a:xfrm>
                      <a:off x="0" y="0"/>
                      <a:ext cx="4763" cy="4763"/>
                    </a:xfrm>
                    <a:prstGeom prst="rect">
                      <a:avLst/>
                    </a:prstGeom>
                    <a:noFill/>
                  </pic:spPr>
                </pic:pic>
              </a:graphicData>
            </a:graphic>
          </wp:anchor>
        </w:drawing>
      </w:r>
    </w:p>
    <w:p>
      <w:pPr>
        <w:sectPr>
          <w:pgSz w:w="11900" w:h="16838" w:orient="portrait"/>
          <w:cols w:equalWidth="0" w:num="1">
            <w:col w:w="10520"/>
          </w:cols>
          <w:pgMar w:left="680" w:top="803" w:right="706" w:bottom="1440" w:gutter="0" w:footer="0" w:header="0"/>
        </w:sectPr>
      </w:pPr>
    </w:p>
    <w:bookmarkStart w:id="22" w:name="page23"/>
    <w:bookmarkEnd w:id="22"/>
    <w:tbl>
      <w:tblPr>
        <w:tblLayout w:type="fixed"/>
        <w:tblInd w:w="0" w:type="dxa"/>
        <w:tblCellMar>
          <w:top w:w="0" w:type="dxa"/>
          <w:left w:w="0" w:type="dxa"/>
          <w:bottom w:w="0" w:type="dxa"/>
          <w:right w:w="0" w:type="dxa"/>
        </w:tblCellMar>
      </w:tblPr>
      <w:tr>
        <w:trPr>
          <w:trHeight w:val="230"/>
        </w:trPr>
        <w:tc>
          <w:tcPr>
            <w:tcW w:w="2260" w:type="dxa"/>
            <w:vAlign w:val="bottom"/>
            <w:gridSpan w:val="2"/>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560" w:type="dxa"/>
            <w:vAlign w:val="bottom"/>
          </w:tcPr>
          <w:p>
            <w:pPr>
              <w:spacing w:after="0"/>
              <w:rPr>
                <w:sz w:val="19"/>
                <w:szCs w:val="19"/>
                <w:color w:val="auto"/>
              </w:rPr>
            </w:pPr>
          </w:p>
        </w:tc>
        <w:tc>
          <w:tcPr>
            <w:tcW w:w="3700" w:type="dxa"/>
            <w:vAlign w:val="bottom"/>
            <w:gridSpan w:val="2"/>
          </w:tcPr>
          <w:p>
            <w:pPr>
              <w:ind w:left="3400"/>
              <w:spacing w:after="0"/>
              <w:rPr>
                <w:sz w:val="20"/>
                <w:szCs w:val="20"/>
                <w:color w:val="auto"/>
              </w:rPr>
            </w:pPr>
            <w:r>
              <w:rPr>
                <w:rFonts w:ascii="Times New Roman" w:cs="Times New Roman" w:eastAsia="Times New Roman" w:hAnsi="Times New Roman"/>
                <w:sz w:val="20"/>
                <w:szCs w:val="20"/>
                <w:color w:val="auto"/>
                <w:w w:val="93"/>
              </w:rPr>
              <w:t>367</w:t>
            </w:r>
          </w:p>
        </w:tc>
        <w:tc>
          <w:tcPr>
            <w:tcW w:w="0" w:type="dxa"/>
            <w:vAlign w:val="bottom"/>
          </w:tcPr>
          <w:p>
            <w:pPr>
              <w:spacing w:after="0"/>
              <w:rPr>
                <w:sz w:val="1"/>
                <w:szCs w:val="1"/>
                <w:color w:val="auto"/>
              </w:rPr>
            </w:pPr>
          </w:p>
        </w:tc>
      </w:tr>
      <w:tr>
        <w:trPr>
          <w:trHeight w:val="40"/>
        </w:trPr>
        <w:tc>
          <w:tcPr>
            <w:tcW w:w="1160" w:type="dxa"/>
            <w:vAlign w:val="bottom"/>
            <w:tcBorders>
              <w:bottom w:val="single" w:sz="8" w:color="auto"/>
            </w:tcBorders>
          </w:tcPr>
          <w:p>
            <w:pPr>
              <w:spacing w:after="0"/>
              <w:rPr>
                <w:sz w:val="3"/>
                <w:szCs w:val="3"/>
                <w:color w:val="auto"/>
              </w:rPr>
            </w:pPr>
          </w:p>
        </w:tc>
        <w:tc>
          <w:tcPr>
            <w:tcW w:w="110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07"/>
        </w:trPr>
        <w:tc>
          <w:tcPr>
            <w:tcW w:w="1160" w:type="dxa"/>
            <w:vAlign w:val="bottom"/>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1160" w:type="dxa"/>
            <w:vAlign w:val="bottom"/>
          </w:tcPr>
          <w:p>
            <w:pPr>
              <w:spacing w:after="0"/>
              <w:rPr>
                <w:sz w:val="18"/>
                <w:szCs w:val="18"/>
                <w:color w:val="auto"/>
              </w:rPr>
            </w:pPr>
          </w:p>
        </w:tc>
        <w:tc>
          <w:tcPr>
            <w:tcW w:w="1100" w:type="dxa"/>
            <w:vAlign w:val="bottom"/>
            <w:tcBorders>
              <w:right w:val="single" w:sz="8" w:color="auto"/>
            </w:tcBorders>
          </w:tcPr>
          <w:p>
            <w:pPr>
              <w:jc w:val="center"/>
              <w:spacing w:after="0" w:line="209" w:lineRule="exact"/>
              <w:rPr>
                <w:sz w:val="20"/>
                <w:szCs w:val="20"/>
                <w:color w:val="auto"/>
              </w:rPr>
            </w:pPr>
            <w:r>
              <w:rPr>
                <w:rFonts w:ascii="Arial" w:cs="Arial" w:eastAsia="Arial" w:hAnsi="Arial"/>
                <w:sz w:val="21"/>
                <w:szCs w:val="21"/>
                <w:b w:val="1"/>
                <w:bCs w:val="1"/>
                <w:color w:val="auto"/>
                <w:w w:val="96"/>
              </w:rPr>
              <w:t>XIII-11</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Mandioca, batata-doce, raízes e tubérculos</w:t>
            </w:r>
          </w:p>
        </w:tc>
        <w:tc>
          <w:tcPr>
            <w:tcW w:w="3020" w:type="dxa"/>
            <w:vAlign w:val="bottom"/>
          </w:tcPr>
          <w:p>
            <w:pPr>
              <w:ind w:left="80"/>
              <w:spacing w:after="0" w:line="209" w:lineRule="exact"/>
              <w:rPr>
                <w:sz w:val="20"/>
                <w:szCs w:val="20"/>
                <w:color w:val="auto"/>
              </w:rPr>
            </w:pPr>
            <w:r>
              <w:rPr>
                <w:rFonts w:ascii="Arial" w:cs="Arial" w:eastAsia="Arial" w:hAnsi="Arial"/>
                <w:sz w:val="21"/>
                <w:szCs w:val="21"/>
                <w:color w:val="auto"/>
              </w:rPr>
              <w:t>0714</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semelhantes - congelados ou secos para a</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fabricação de alimentos ou produtos</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industriais. Tubérculos e raízes que também</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podem ser usados para consumo humano</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60" w:type="dxa"/>
            <w:vAlign w:val="bottom"/>
          </w:tcPr>
          <w:p>
            <w:pPr>
              <w:spacing w:after="0"/>
              <w:rPr>
                <w:sz w:val="22"/>
                <w:szCs w:val="22"/>
                <w:color w:val="auto"/>
              </w:rPr>
            </w:pPr>
          </w:p>
        </w:tc>
        <w:tc>
          <w:tcPr>
            <w:tcW w:w="11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directo.</w:t>
            </w:r>
          </w:p>
        </w:tc>
        <w:tc>
          <w:tcPr>
            <w:tcW w:w="3020" w:type="dxa"/>
            <w:vAlign w:val="bottom"/>
            <w:tcBorders>
              <w:bottom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6"/>
        </w:trPr>
        <w:tc>
          <w:tcPr>
            <w:tcW w:w="1160" w:type="dxa"/>
            <w:vAlign w:val="bottom"/>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4560" w:type="dxa"/>
            <w:vAlign w:val="bottom"/>
            <w:tcBorders>
              <w:bottom w:val="single" w:sz="8" w:color="auto"/>
            </w:tcBorders>
          </w:tcPr>
          <w:p>
            <w:pPr>
              <w:ind w:left="2320"/>
              <w:spacing w:after="0" w:line="226" w:lineRule="exact"/>
              <w:rPr>
                <w:sz w:val="20"/>
                <w:szCs w:val="20"/>
                <w:color w:val="auto"/>
              </w:rPr>
            </w:pPr>
            <w:r>
              <w:rPr>
                <w:rFonts w:ascii="Arial" w:cs="Arial" w:eastAsia="Arial" w:hAnsi="Arial"/>
                <w:sz w:val="21"/>
                <w:szCs w:val="21"/>
                <w:b w:val="1"/>
                <w:bCs w:val="1"/>
                <w:color w:val="auto"/>
              </w:rPr>
              <w:t>Óleos comestíveis</w:t>
            </w:r>
          </w:p>
        </w:tc>
        <w:tc>
          <w:tcPr>
            <w:tcW w:w="3020" w:type="dxa"/>
            <w:vAlign w:val="bottom"/>
            <w:tcBorders>
              <w:bottom w:val="single" w:sz="8" w:color="auto"/>
            </w:tcBorders>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60" w:type="dxa"/>
            <w:vAlign w:val="bottom"/>
          </w:tcPr>
          <w:p>
            <w:pPr>
              <w:spacing w:after="0"/>
              <w:rPr>
                <w:sz w:val="19"/>
                <w:szCs w:val="19"/>
                <w:color w:val="auto"/>
              </w:rPr>
            </w:pPr>
          </w:p>
        </w:tc>
        <w:tc>
          <w:tcPr>
            <w:tcW w:w="110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160" w:type="dxa"/>
            <w:vAlign w:val="bottom"/>
          </w:tcPr>
          <w:p>
            <w:pPr>
              <w:spacing w:after="0"/>
              <w:rPr>
                <w:sz w:val="18"/>
                <w:szCs w:val="18"/>
                <w:color w:val="auto"/>
              </w:rPr>
            </w:pPr>
          </w:p>
        </w:tc>
        <w:tc>
          <w:tcPr>
            <w:tcW w:w="1100" w:type="dxa"/>
            <w:vAlign w:val="bottom"/>
            <w:tcBorders>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w w:val="96"/>
              </w:rPr>
              <w:t>XIII-12</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Óleos de oliva e vegetais incluindo os descritos</w:t>
            </w:r>
          </w:p>
        </w:tc>
        <w:tc>
          <w:tcPr>
            <w:tcW w:w="3020" w:type="dxa"/>
            <w:vAlign w:val="bottom"/>
          </w:tcPr>
          <w:p>
            <w:pPr>
              <w:ind w:left="80"/>
              <w:spacing w:after="0" w:line="211" w:lineRule="exact"/>
              <w:rPr>
                <w:sz w:val="20"/>
                <w:szCs w:val="20"/>
                <w:color w:val="auto"/>
              </w:rPr>
            </w:pPr>
            <w:r>
              <w:rPr>
                <w:rFonts w:ascii="Arial" w:cs="Arial" w:eastAsia="Arial" w:hAnsi="Arial"/>
                <w:sz w:val="21"/>
                <w:szCs w:val="21"/>
                <w:color w:val="auto"/>
              </w:rPr>
              <w:t>"1507,1508,1509,1511,1512,</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no código HS 1509 (Azeites e óleos de bagaço</w:t>
            </w:r>
          </w:p>
        </w:tc>
        <w:tc>
          <w:tcPr>
            <w:tcW w:w="3020" w:type="dxa"/>
            <w:vAlign w:val="bottom"/>
          </w:tcPr>
          <w:p>
            <w:pPr>
              <w:ind w:left="80"/>
              <w:spacing w:after="0" w:line="238" w:lineRule="exact"/>
              <w:rPr>
                <w:sz w:val="20"/>
                <w:szCs w:val="20"/>
                <w:color w:val="auto"/>
              </w:rPr>
            </w:pPr>
            <w:r>
              <w:rPr>
                <w:rFonts w:ascii="Arial" w:cs="Arial" w:eastAsia="Arial" w:hAnsi="Arial"/>
                <w:sz w:val="21"/>
                <w:szCs w:val="21"/>
                <w:color w:val="auto"/>
              </w:rPr>
              <w:t>1513,1514,1515</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4"/>
        </w:trPr>
        <w:tc>
          <w:tcPr>
            <w:tcW w:w="1160" w:type="dxa"/>
            <w:vAlign w:val="bottom"/>
          </w:tcPr>
          <w:p>
            <w:pPr>
              <w:spacing w:after="0"/>
              <w:rPr>
                <w:sz w:val="23"/>
                <w:szCs w:val="23"/>
                <w:color w:val="auto"/>
              </w:rPr>
            </w:pPr>
          </w:p>
        </w:tc>
        <w:tc>
          <w:tcPr>
            <w:tcW w:w="110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de oliva, incluindo azeite virgem).</w:t>
            </w:r>
          </w:p>
        </w:tc>
        <w:tc>
          <w:tcPr>
            <w:tcW w:w="3020" w:type="dxa"/>
            <w:vAlign w:val="bottom"/>
          </w:tcPr>
          <w:p>
            <w:pPr>
              <w:spacing w:after="0"/>
              <w:rPr>
                <w:sz w:val="23"/>
                <w:szCs w:val="23"/>
                <w:color w:val="auto"/>
              </w:rPr>
            </w:pP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19"/>
        </w:trPr>
        <w:tc>
          <w:tcPr>
            <w:tcW w:w="1160" w:type="dxa"/>
            <w:vAlign w:val="bottom"/>
          </w:tcPr>
          <w:p>
            <w:pPr>
              <w:spacing w:after="0"/>
              <w:rPr>
                <w:sz w:val="19"/>
                <w:szCs w:val="19"/>
                <w:color w:val="auto"/>
              </w:rPr>
            </w:pPr>
          </w:p>
        </w:tc>
        <w:tc>
          <w:tcPr>
            <w:tcW w:w="1100" w:type="dxa"/>
            <w:vAlign w:val="bottom"/>
            <w:tcBorders>
              <w:bottom w:val="single" w:sz="8" w:color="auto"/>
              <w:right w:val="single" w:sz="8" w:color="auto"/>
            </w:tcBorders>
          </w:tcPr>
          <w:p>
            <w:pPr>
              <w:spacing w:after="0"/>
              <w:rPr>
                <w:sz w:val="19"/>
                <w:szCs w:val="19"/>
                <w:color w:val="auto"/>
              </w:rPr>
            </w:pPr>
          </w:p>
        </w:tc>
        <w:tc>
          <w:tcPr>
            <w:tcW w:w="4560" w:type="dxa"/>
            <w:vAlign w:val="bottom"/>
            <w:tcBorders>
              <w:bottom w:val="single" w:sz="8" w:color="auto"/>
              <w:right w:val="single" w:sz="8" w:color="auto"/>
            </w:tcBorders>
          </w:tcPr>
          <w:p>
            <w:pPr>
              <w:spacing w:after="0"/>
              <w:rPr>
                <w:sz w:val="19"/>
                <w:szCs w:val="19"/>
                <w:color w:val="auto"/>
              </w:rPr>
            </w:pPr>
          </w:p>
        </w:tc>
        <w:tc>
          <w:tcPr>
            <w:tcW w:w="3020" w:type="dxa"/>
            <w:vAlign w:val="bottom"/>
            <w:tcBorders>
              <w:bottom w:val="single" w:sz="8" w:color="auto"/>
            </w:tcBorders>
          </w:tcPr>
          <w:p>
            <w:pPr>
              <w:spacing w:after="0"/>
              <w:rPr>
                <w:sz w:val="19"/>
                <w:szCs w:val="19"/>
                <w:color w:val="auto"/>
              </w:rPr>
            </w:pPr>
          </w:p>
        </w:tc>
        <w:tc>
          <w:tcPr>
            <w:tcW w:w="680" w:type="dxa"/>
            <w:vAlign w:val="bottom"/>
            <w:vMerge w:val="restart"/>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60" w:type="dxa"/>
            <w:vAlign w:val="bottom"/>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7580" w:type="dxa"/>
            <w:vAlign w:val="bottom"/>
            <w:tcBorders>
              <w:bottom w:val="single" w:sz="8" w:color="auto"/>
            </w:tcBorders>
            <w:gridSpan w:val="2"/>
          </w:tcPr>
          <w:p>
            <w:pPr>
              <w:ind w:left="1820"/>
              <w:spacing w:after="0" w:line="226" w:lineRule="exact"/>
              <w:rPr>
                <w:sz w:val="20"/>
                <w:szCs w:val="20"/>
                <w:color w:val="auto"/>
              </w:rPr>
            </w:pPr>
            <w:r>
              <w:rPr>
                <w:rFonts w:ascii="Arial" w:cs="Arial" w:eastAsia="Arial" w:hAnsi="Arial"/>
                <w:sz w:val="21"/>
                <w:szCs w:val="21"/>
                <w:b w:val="1"/>
                <w:bCs w:val="1"/>
                <w:color w:val="auto"/>
              </w:rPr>
              <w:t>Água, suco e outras bebidas</w:t>
            </w:r>
          </w:p>
        </w:tc>
        <w:tc>
          <w:tcPr>
            <w:tcW w:w="6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7"/>
        </w:trPr>
        <w:tc>
          <w:tcPr>
            <w:tcW w:w="1160" w:type="dxa"/>
            <w:vAlign w:val="bottom"/>
          </w:tcPr>
          <w:p>
            <w:pPr>
              <w:spacing w:after="0"/>
              <w:rPr>
                <w:sz w:val="19"/>
                <w:szCs w:val="19"/>
                <w:color w:val="auto"/>
              </w:rPr>
            </w:pPr>
          </w:p>
        </w:tc>
        <w:tc>
          <w:tcPr>
            <w:tcW w:w="1100" w:type="dxa"/>
            <w:vAlign w:val="bottom"/>
            <w:tcBorders>
              <w:bottom w:val="single" w:sz="8" w:color="auto"/>
            </w:tcBorders>
          </w:tcPr>
          <w:p>
            <w:pPr>
              <w:jc w:val="center"/>
              <w:spacing w:after="0" w:line="227"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tcBorders>
          </w:tcPr>
          <w:p>
            <w:pPr>
              <w:ind w:left="1200"/>
              <w:spacing w:after="0" w:line="227"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tcBorders>
          </w:tcPr>
          <w:p>
            <w:pPr>
              <w:ind w:left="980"/>
              <w:spacing w:after="0" w:line="227"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60" w:type="dxa"/>
            <w:vAlign w:val="bottom"/>
          </w:tcPr>
          <w:p>
            <w:pPr>
              <w:spacing w:after="0"/>
              <w:rPr>
                <w:sz w:val="18"/>
                <w:szCs w:val="18"/>
                <w:color w:val="auto"/>
              </w:rPr>
            </w:pPr>
          </w:p>
        </w:tc>
        <w:tc>
          <w:tcPr>
            <w:tcW w:w="5660" w:type="dxa"/>
            <w:vAlign w:val="bottom"/>
            <w:gridSpan w:val="2"/>
          </w:tcPr>
          <w:p>
            <w:pPr>
              <w:ind w:left="240"/>
              <w:spacing w:after="0" w:line="208" w:lineRule="exact"/>
              <w:rPr>
                <w:sz w:val="20"/>
                <w:szCs w:val="20"/>
                <w:color w:val="auto"/>
              </w:rPr>
            </w:pPr>
            <w:r>
              <w:rPr>
                <w:rFonts w:ascii="Arial" w:cs="Arial" w:eastAsia="Arial" w:hAnsi="Arial"/>
                <w:sz w:val="21"/>
                <w:szCs w:val="21"/>
                <w:b w:val="1"/>
                <w:bCs w:val="1"/>
                <w:color w:val="auto"/>
              </w:rPr>
              <w:t xml:space="preserve">XIII-13   </w:t>
            </w:r>
            <w:r>
              <w:rPr>
                <w:rFonts w:ascii="Arial" w:cs="Arial" w:eastAsia="Arial" w:hAnsi="Arial"/>
                <w:sz w:val="21"/>
                <w:szCs w:val="21"/>
                <w:color w:val="auto"/>
              </w:rPr>
              <w:t>Água natural ou artificial e bebidas não</w:t>
            </w:r>
          </w:p>
        </w:tc>
        <w:tc>
          <w:tcPr>
            <w:tcW w:w="3020" w:type="dxa"/>
            <w:vAlign w:val="bottom"/>
          </w:tcPr>
          <w:p>
            <w:pPr>
              <w:ind w:left="80"/>
              <w:spacing w:after="0" w:line="208" w:lineRule="exact"/>
              <w:rPr>
                <w:sz w:val="20"/>
                <w:szCs w:val="20"/>
                <w:color w:val="auto"/>
              </w:rPr>
            </w:pPr>
            <w:r>
              <w:rPr>
                <w:rFonts w:ascii="Arial" w:cs="Arial" w:eastAsia="Arial" w:hAnsi="Arial"/>
                <w:sz w:val="21"/>
                <w:szCs w:val="21"/>
                <w:color w:val="auto"/>
              </w:rPr>
              <w:t>2201, 2202, 2853</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4560" w:type="dxa"/>
            <w:vAlign w:val="bottom"/>
          </w:tcPr>
          <w:p>
            <w:pPr>
              <w:ind w:left="80"/>
              <w:spacing w:after="0" w:line="238" w:lineRule="exact"/>
              <w:rPr>
                <w:sz w:val="20"/>
                <w:szCs w:val="20"/>
                <w:color w:val="auto"/>
              </w:rPr>
            </w:pPr>
            <w:r>
              <w:rPr>
                <w:rFonts w:ascii="Arial" w:cs="Arial" w:eastAsia="Arial" w:hAnsi="Arial"/>
                <w:sz w:val="21"/>
                <w:szCs w:val="21"/>
                <w:color w:val="auto"/>
              </w:rPr>
              <w:t>alcoólicas incluindo as descritas nos códigos</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4560" w:type="dxa"/>
            <w:vAlign w:val="bottom"/>
          </w:tcPr>
          <w:p>
            <w:pPr>
              <w:ind w:left="80"/>
              <w:spacing w:after="0" w:line="238" w:lineRule="exact"/>
              <w:rPr>
                <w:sz w:val="20"/>
                <w:szCs w:val="20"/>
                <w:color w:val="auto"/>
              </w:rPr>
            </w:pPr>
            <w:r>
              <w:rPr>
                <w:rFonts w:ascii="Arial" w:cs="Arial" w:eastAsia="Arial" w:hAnsi="Arial"/>
                <w:sz w:val="21"/>
                <w:szCs w:val="21"/>
                <w:color w:val="auto"/>
              </w:rPr>
              <w:t>HS:</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4560" w:type="dxa"/>
            <w:vAlign w:val="bottom"/>
          </w:tcPr>
          <w:p>
            <w:pPr>
              <w:ind w:left="80"/>
              <w:spacing w:after="0" w:line="238" w:lineRule="exact"/>
              <w:rPr>
                <w:sz w:val="20"/>
                <w:szCs w:val="20"/>
                <w:color w:val="auto"/>
              </w:rPr>
            </w:pPr>
            <w:r>
              <w:rPr>
                <w:rFonts w:ascii="Arial" w:cs="Arial" w:eastAsia="Arial" w:hAnsi="Arial"/>
                <w:sz w:val="21"/>
                <w:szCs w:val="21"/>
                <w:color w:val="auto"/>
              </w:rPr>
              <w:t>● 2201 - Água sem açúcar ou outro adoçante</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4560" w:type="dxa"/>
            <w:vAlign w:val="bottom"/>
          </w:tcPr>
          <w:p>
            <w:pPr>
              <w:ind w:left="80"/>
              <w:spacing w:after="0" w:line="238" w:lineRule="exact"/>
              <w:rPr>
                <w:sz w:val="20"/>
                <w:szCs w:val="20"/>
                <w:color w:val="auto"/>
              </w:rPr>
            </w:pPr>
            <w:r>
              <w:rPr>
                <w:rFonts w:ascii="Arial" w:cs="Arial" w:eastAsia="Arial" w:hAnsi="Arial"/>
                <w:sz w:val="21"/>
                <w:szCs w:val="21"/>
                <w:color w:val="auto"/>
              </w:rPr>
              <w:t>nem aromatizado. (por exemplo, águas</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4560" w:type="dxa"/>
            <w:vAlign w:val="bottom"/>
          </w:tcPr>
          <w:p>
            <w:pPr>
              <w:ind w:left="80"/>
              <w:spacing w:after="0" w:line="238" w:lineRule="exact"/>
              <w:rPr>
                <w:sz w:val="20"/>
                <w:szCs w:val="20"/>
                <w:color w:val="auto"/>
              </w:rPr>
            </w:pPr>
            <w:r>
              <w:rPr>
                <w:rFonts w:ascii="Arial" w:cs="Arial" w:eastAsia="Arial" w:hAnsi="Arial"/>
                <w:sz w:val="21"/>
                <w:szCs w:val="21"/>
                <w:color w:val="auto"/>
              </w:rPr>
              <w:t>minerais e gaseificadas)</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4560" w:type="dxa"/>
            <w:vAlign w:val="bottom"/>
          </w:tcPr>
          <w:p>
            <w:pPr>
              <w:ind w:left="80"/>
              <w:spacing w:after="0" w:line="238" w:lineRule="exact"/>
              <w:rPr>
                <w:sz w:val="20"/>
                <w:szCs w:val="20"/>
                <w:color w:val="auto"/>
              </w:rPr>
            </w:pPr>
            <w:r>
              <w:rPr>
                <w:rFonts w:ascii="Arial" w:cs="Arial" w:eastAsia="Arial" w:hAnsi="Arial"/>
                <w:sz w:val="21"/>
                <w:szCs w:val="21"/>
                <w:color w:val="auto"/>
              </w:rPr>
              <w:t>● 2202 - O mesmo que 2201, mas com açúcar</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4560" w:type="dxa"/>
            <w:vAlign w:val="bottom"/>
          </w:tcPr>
          <w:p>
            <w:pPr>
              <w:ind w:left="80"/>
              <w:spacing w:after="0" w:line="238" w:lineRule="exact"/>
              <w:rPr>
                <w:sz w:val="20"/>
                <w:szCs w:val="20"/>
                <w:color w:val="auto"/>
              </w:rPr>
            </w:pPr>
            <w:r>
              <w:rPr>
                <w:rFonts w:ascii="Arial" w:cs="Arial" w:eastAsia="Arial" w:hAnsi="Arial"/>
                <w:sz w:val="21"/>
                <w:szCs w:val="21"/>
                <w:color w:val="auto"/>
              </w:rPr>
              <w:t>ou outro adoçante ou aromatizado (por</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100" w:type="dxa"/>
            <w:vAlign w:val="bottom"/>
          </w:tcPr>
          <w:p>
            <w:pPr>
              <w:spacing w:after="0"/>
              <w:rPr>
                <w:sz w:val="20"/>
                <w:szCs w:val="20"/>
                <w:color w:val="auto"/>
              </w:rPr>
            </w:pPr>
          </w:p>
        </w:tc>
        <w:tc>
          <w:tcPr>
            <w:tcW w:w="4560" w:type="dxa"/>
            <w:vAlign w:val="bottom"/>
          </w:tcPr>
          <w:p>
            <w:pPr>
              <w:ind w:left="80"/>
              <w:spacing w:after="0" w:line="238" w:lineRule="exact"/>
              <w:rPr>
                <w:sz w:val="20"/>
                <w:szCs w:val="20"/>
                <w:color w:val="auto"/>
              </w:rPr>
            </w:pPr>
            <w:r>
              <w:rPr>
                <w:rFonts w:ascii="Arial" w:cs="Arial" w:eastAsia="Arial" w:hAnsi="Arial"/>
                <w:sz w:val="21"/>
                <w:szCs w:val="21"/>
                <w:color w:val="auto"/>
              </w:rPr>
              <w:t>exemplo refrigerantes)</w:t>
            </w:r>
          </w:p>
        </w:tc>
        <w:tc>
          <w:tcPr>
            <w:tcW w:w="30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4"/>
        </w:trPr>
        <w:tc>
          <w:tcPr>
            <w:tcW w:w="116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4560" w:type="dxa"/>
            <w:vAlign w:val="bottom"/>
          </w:tcPr>
          <w:p>
            <w:pPr>
              <w:ind w:left="80"/>
              <w:spacing w:after="0"/>
              <w:rPr>
                <w:sz w:val="20"/>
                <w:szCs w:val="20"/>
                <w:color w:val="auto"/>
              </w:rPr>
            </w:pPr>
            <w:r>
              <w:rPr>
                <w:rFonts w:ascii="Arial" w:cs="Arial" w:eastAsia="Arial" w:hAnsi="Arial"/>
                <w:sz w:val="21"/>
                <w:szCs w:val="21"/>
                <w:color w:val="auto"/>
              </w:rPr>
              <w:t>● 2853 - Água destilada</w:t>
            </w:r>
          </w:p>
        </w:tc>
        <w:tc>
          <w:tcPr>
            <w:tcW w:w="3020" w:type="dxa"/>
            <w:vAlign w:val="bottom"/>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736600</wp:posOffset>
                </wp:positionH>
                <wp:positionV relativeFrom="paragraph">
                  <wp:posOffset>-3660775</wp:posOffset>
                </wp:positionV>
                <wp:extent cx="0" cy="681355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13550"/>
                        </a:xfrm>
                        <a:prstGeom prst="line">
                          <a:avLst/>
                        </a:prstGeom>
                        <a:solidFill>
                          <a:srgbClr val="FFFFFF"/>
                        </a:solidFill>
                        <a:ln w="5257">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8pt,-288.2499pt" to="58pt,248.25pt" o:allowincell="f" strokecolor="#000000" strokeweight="0.4139pt"/>
            </w:pict>
          </mc:Fallback>
        </mc:AlternateContent>
        <mc:AlternateContent>
          <mc:Choice Requires="wps">
            <w:drawing>
              <wp:anchor simplePos="0" relativeHeight="251657728" behindDoc="1" locked="0" layoutInCell="0" allowOverlap="1">
                <wp:simplePos x="0" y="0"/>
                <wp:positionH relativeFrom="column">
                  <wp:posOffset>6243955</wp:posOffset>
                </wp:positionH>
                <wp:positionV relativeFrom="paragraph">
                  <wp:posOffset>-3660775</wp:posOffset>
                </wp:positionV>
                <wp:extent cx="0" cy="681355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13550"/>
                        </a:xfrm>
                        <a:prstGeom prst="line">
                          <a:avLst/>
                        </a:prstGeom>
                        <a:solidFill>
                          <a:srgbClr val="FFFFFF"/>
                        </a:solidFill>
                        <a:ln w="5244">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1.65pt,-288.2499pt" to="491.65pt,248.25pt" o:allowincell="f" strokecolor="#000000" strokeweight="0.4129pt"/>
            </w:pict>
          </mc:Fallback>
        </mc:AlternateContent>
        <mc:AlternateContent>
          <mc:Choice Requires="wps">
            <w:drawing>
              <wp:anchor simplePos="0" relativeHeight="251657728" behindDoc="1" locked="0" layoutInCell="0" allowOverlap="1">
                <wp:simplePos x="0" y="0"/>
                <wp:positionH relativeFrom="column">
                  <wp:posOffset>734060</wp:posOffset>
                </wp:positionH>
                <wp:positionV relativeFrom="paragraph">
                  <wp:posOffset>3175</wp:posOffset>
                </wp:positionV>
                <wp:extent cx="5512435"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12435" cy="4763"/>
                        </a:xfrm>
                        <a:prstGeom prst="line">
                          <a:avLst/>
                        </a:prstGeom>
                        <a:solidFill>
                          <a:srgbClr val="FFFFFF"/>
                        </a:solidFill>
                        <a:ln w="5257">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8pt,0.25pt" to="491.85pt,0.25pt" o:allowincell="f" strokecolor="#000000" strokeweight="0.4139pt"/>
            </w:pict>
          </mc:Fallback>
        </mc:AlternateContent>
        <mc:AlternateContent>
          <mc:Choice Requires="wps">
            <w:drawing>
              <wp:anchor simplePos="0" relativeHeight="251657728" behindDoc="1" locked="0" layoutInCell="0" allowOverlap="1">
                <wp:simplePos x="0" y="0"/>
                <wp:positionH relativeFrom="column">
                  <wp:posOffset>1423035</wp:posOffset>
                </wp:positionH>
                <wp:positionV relativeFrom="paragraph">
                  <wp:posOffset>-1670050</wp:posOffset>
                </wp:positionV>
                <wp:extent cx="0" cy="4822825"/>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822825"/>
                        </a:xfrm>
                        <a:prstGeom prst="line">
                          <a:avLst/>
                        </a:prstGeom>
                        <a:solidFill>
                          <a:srgbClr val="FFFFFF"/>
                        </a:solidFill>
                        <a:ln w="5245">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2.05pt,-131.4999pt" to="112.05pt,248.25pt" o:allowincell="f" strokecolor="#000000" strokeweight="0.413pt"/>
            </w:pict>
          </mc:Fallback>
        </mc:AlternateContent>
        <mc:AlternateContent>
          <mc:Choice Requires="wps">
            <w:drawing>
              <wp:anchor simplePos="0" relativeHeight="251657728" behindDoc="1" locked="0" layoutInCell="0" allowOverlap="1">
                <wp:simplePos x="0" y="0"/>
                <wp:positionH relativeFrom="column">
                  <wp:posOffset>4320540</wp:posOffset>
                </wp:positionH>
                <wp:positionV relativeFrom="paragraph">
                  <wp:posOffset>-1670050</wp:posOffset>
                </wp:positionV>
                <wp:extent cx="0" cy="4822825"/>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822825"/>
                        </a:xfrm>
                        <a:prstGeom prst="line">
                          <a:avLst/>
                        </a:prstGeom>
                        <a:solidFill>
                          <a:srgbClr val="FFFFFF"/>
                        </a:solidFill>
                        <a:ln w="5257">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0.2pt,-131.4999pt" to="340.2pt,248.25pt" o:allowincell="f" strokecolor="#000000" strokeweight="0.4139pt"/>
            </w:pict>
          </mc:Fallback>
        </mc:AlternateContent>
      </w:r>
    </w:p>
    <w:p>
      <w:pPr>
        <w:ind w:left="2340"/>
        <w:spacing w:after="0" w:line="228" w:lineRule="auto"/>
        <w:rPr>
          <w:sz w:val="20"/>
          <w:szCs w:val="20"/>
          <w:color w:val="auto"/>
        </w:rPr>
      </w:pPr>
      <w:r>
        <w:rPr>
          <w:rFonts w:ascii="Arial" w:cs="Arial" w:eastAsia="Arial" w:hAnsi="Arial"/>
          <w:sz w:val="21"/>
          <w:szCs w:val="21"/>
          <w:color w:val="auto"/>
        </w:rPr>
        <w:t>Sucos de frutas e vegetais incluindo os</w:t>
      </w:r>
    </w:p>
    <w:p>
      <w:pPr>
        <w:ind w:left="2340"/>
        <w:spacing w:after="0" w:line="237" w:lineRule="auto"/>
        <w:rPr>
          <w:sz w:val="20"/>
          <w:szCs w:val="20"/>
          <w:color w:val="auto"/>
        </w:rPr>
      </w:pPr>
      <w:r>
        <w:rPr>
          <w:rFonts w:ascii="Arial" w:cs="Arial" w:eastAsia="Arial" w:hAnsi="Arial"/>
          <w:sz w:val="21"/>
          <w:szCs w:val="21"/>
          <w:color w:val="auto"/>
        </w:rPr>
        <w:t>descritos nos códigos HS:</w:t>
      </w:r>
    </w:p>
    <w:p>
      <w:pPr>
        <w:ind w:left="2520" w:hanging="185"/>
        <w:spacing w:after="0" w:line="234" w:lineRule="auto"/>
        <w:tabs>
          <w:tab w:leader="none" w:pos="2520" w:val="left"/>
        </w:tabs>
        <w:numPr>
          <w:ilvl w:val="0"/>
          <w:numId w:val="40"/>
        </w:numPr>
        <w:rPr>
          <w:rFonts w:ascii="Arial" w:cs="Arial" w:eastAsia="Arial" w:hAnsi="Arial"/>
          <w:sz w:val="21"/>
          <w:szCs w:val="21"/>
          <w:color w:val="auto"/>
        </w:rPr>
      </w:pPr>
      <w:r>
        <w:rPr>
          <w:rFonts w:ascii="Arial" w:cs="Arial" w:eastAsia="Arial" w:hAnsi="Arial"/>
          <w:sz w:val="21"/>
          <w:szCs w:val="21"/>
          <w:color w:val="auto"/>
        </w:rPr>
        <w:t>2009 - Suco de frutas e vegetais não</w:t>
      </w:r>
    </w:p>
    <w:tbl>
      <w:tblPr>
        <w:tblLayout w:type="fixed"/>
        <w:tblInd w:w="1160" w:type="dxa"/>
        <w:tblCellMar>
          <w:top w:w="0" w:type="dxa"/>
          <w:left w:w="0" w:type="dxa"/>
          <w:bottom w:w="0" w:type="dxa"/>
          <w:right w:w="0" w:type="dxa"/>
        </w:tblCellMar>
      </w:tblPr>
      <w:tr>
        <w:trPr>
          <w:trHeight w:val="240"/>
        </w:trPr>
        <w:tc>
          <w:tcPr>
            <w:tcW w:w="5520" w:type="dxa"/>
            <w:vAlign w:val="bottom"/>
            <w:gridSpan w:val="2"/>
          </w:tcPr>
          <w:p>
            <w:pPr>
              <w:ind w:left="240"/>
              <w:spacing w:after="0" w:line="240" w:lineRule="exact"/>
              <w:rPr>
                <w:sz w:val="20"/>
                <w:szCs w:val="20"/>
                <w:color w:val="auto"/>
              </w:rPr>
            </w:pPr>
            <w:r>
              <w:rPr>
                <w:rFonts w:ascii="Arial" w:cs="Arial" w:eastAsia="Arial" w:hAnsi="Arial"/>
                <w:sz w:val="21"/>
                <w:szCs w:val="21"/>
                <w:b w:val="1"/>
                <w:bCs w:val="1"/>
                <w:color w:val="auto"/>
              </w:rPr>
              <w:t xml:space="preserve">XIII-14   </w:t>
            </w:r>
            <w:r>
              <w:rPr>
                <w:rFonts w:ascii="Arial" w:cs="Arial" w:eastAsia="Arial" w:hAnsi="Arial"/>
                <w:sz w:val="21"/>
                <w:szCs w:val="21"/>
                <w:color w:val="auto"/>
              </w:rPr>
              <w:t>fermentado e não contendo adição de álcool</w:t>
            </w:r>
          </w:p>
        </w:tc>
        <w:tc>
          <w:tcPr>
            <w:tcW w:w="3160" w:type="dxa"/>
            <w:vAlign w:val="bottom"/>
          </w:tcPr>
          <w:p>
            <w:pPr>
              <w:spacing w:after="0"/>
              <w:rPr>
                <w:sz w:val="20"/>
                <w:szCs w:val="20"/>
                <w:color w:val="auto"/>
              </w:rPr>
            </w:pPr>
          </w:p>
        </w:tc>
      </w:tr>
      <w:tr>
        <w:trPr>
          <w:trHeight w:val="256"/>
        </w:trPr>
        <w:tc>
          <w:tcPr>
            <w:tcW w:w="5520" w:type="dxa"/>
            <w:vAlign w:val="bottom"/>
            <w:tcBorders>
              <w:bottom w:val="single" w:sz="8" w:color="auto"/>
            </w:tcBorders>
            <w:gridSpan w:val="2"/>
          </w:tcPr>
          <w:p>
            <w:pPr>
              <w:ind w:left="1180"/>
              <w:spacing w:after="0"/>
              <w:rPr>
                <w:sz w:val="20"/>
                <w:szCs w:val="20"/>
                <w:color w:val="auto"/>
              </w:rPr>
            </w:pPr>
            <w:r>
              <w:rPr>
                <w:rFonts w:ascii="Arial" w:cs="Arial" w:eastAsia="Arial" w:hAnsi="Arial"/>
                <w:sz w:val="21"/>
                <w:szCs w:val="21"/>
                <w:color w:val="auto"/>
              </w:rPr>
              <w:t>com ou sem açúcar ou outro edulcorante</w:t>
            </w:r>
          </w:p>
        </w:tc>
        <w:tc>
          <w:tcPr>
            <w:tcW w:w="3160" w:type="dxa"/>
            <w:vAlign w:val="bottom"/>
            <w:tcBorders>
              <w:bottom w:val="single" w:sz="8" w:color="auto"/>
            </w:tcBorders>
          </w:tcPr>
          <w:p>
            <w:pPr>
              <w:ind w:left="220"/>
              <w:spacing w:after="0"/>
              <w:rPr>
                <w:sz w:val="20"/>
                <w:szCs w:val="20"/>
                <w:color w:val="auto"/>
              </w:rPr>
            </w:pPr>
            <w:r>
              <w:rPr>
                <w:rFonts w:ascii="Arial" w:cs="Arial" w:eastAsia="Arial" w:hAnsi="Arial"/>
                <w:sz w:val="21"/>
                <w:szCs w:val="21"/>
                <w:color w:val="auto"/>
              </w:rPr>
              <w:t>2009</w:t>
            </w:r>
          </w:p>
        </w:tc>
      </w:tr>
      <w:tr>
        <w:trPr>
          <w:trHeight w:val="208"/>
        </w:trPr>
        <w:tc>
          <w:tcPr>
            <w:tcW w:w="5520" w:type="dxa"/>
            <w:vAlign w:val="bottom"/>
            <w:gridSpan w:val="2"/>
          </w:tcPr>
          <w:p>
            <w:pPr>
              <w:ind w:left="1180"/>
              <w:spacing w:after="0" w:line="208" w:lineRule="exact"/>
              <w:rPr>
                <w:sz w:val="20"/>
                <w:szCs w:val="20"/>
                <w:color w:val="auto"/>
              </w:rPr>
            </w:pPr>
            <w:r>
              <w:rPr>
                <w:rFonts w:ascii="Arial" w:cs="Arial" w:eastAsia="Arial" w:hAnsi="Arial"/>
                <w:sz w:val="21"/>
                <w:szCs w:val="21"/>
                <w:color w:val="auto"/>
              </w:rPr>
              <w:t>Bebidas alcoólicas incluindo as descritas nos</w:t>
            </w:r>
          </w:p>
        </w:tc>
        <w:tc>
          <w:tcPr>
            <w:tcW w:w="3160" w:type="dxa"/>
            <w:vAlign w:val="bottom"/>
          </w:tcPr>
          <w:p>
            <w:pPr>
              <w:ind w:left="220"/>
              <w:spacing w:after="0" w:line="208" w:lineRule="exact"/>
              <w:rPr>
                <w:sz w:val="20"/>
                <w:szCs w:val="20"/>
                <w:color w:val="auto"/>
              </w:rPr>
            </w:pPr>
            <w:r>
              <w:rPr>
                <w:rFonts w:ascii="Arial" w:cs="Arial" w:eastAsia="Arial" w:hAnsi="Arial"/>
                <w:sz w:val="21"/>
                <w:szCs w:val="21"/>
                <w:color w:val="auto"/>
              </w:rPr>
              <w:t>2203, 2204, 2205, 2206, 2208</w:t>
            </w:r>
          </w:p>
        </w:tc>
      </w:tr>
      <w:tr>
        <w:trPr>
          <w:trHeight w:val="238"/>
        </w:trPr>
        <w:tc>
          <w:tcPr>
            <w:tcW w:w="5520" w:type="dxa"/>
            <w:vAlign w:val="bottom"/>
            <w:gridSpan w:val="2"/>
          </w:tcPr>
          <w:p>
            <w:pPr>
              <w:ind w:left="1180"/>
              <w:spacing w:after="0" w:line="238" w:lineRule="exact"/>
              <w:rPr>
                <w:sz w:val="20"/>
                <w:szCs w:val="20"/>
                <w:color w:val="auto"/>
              </w:rPr>
            </w:pPr>
            <w:r>
              <w:rPr>
                <w:rFonts w:ascii="Arial" w:cs="Arial" w:eastAsia="Arial" w:hAnsi="Arial"/>
                <w:sz w:val="21"/>
                <w:szCs w:val="21"/>
                <w:color w:val="auto"/>
              </w:rPr>
              <w:t>códigos HS:</w:t>
            </w:r>
          </w:p>
        </w:tc>
        <w:tc>
          <w:tcPr>
            <w:tcW w:w="3160" w:type="dxa"/>
            <w:vAlign w:val="bottom"/>
          </w:tcPr>
          <w:p>
            <w:pPr>
              <w:spacing w:after="0"/>
              <w:rPr>
                <w:sz w:val="20"/>
                <w:szCs w:val="20"/>
                <w:color w:val="auto"/>
              </w:rPr>
            </w:pPr>
          </w:p>
        </w:tc>
      </w:tr>
      <w:tr>
        <w:trPr>
          <w:trHeight w:val="238"/>
        </w:trPr>
        <w:tc>
          <w:tcPr>
            <w:tcW w:w="1840" w:type="dxa"/>
            <w:vAlign w:val="bottom"/>
          </w:tcPr>
          <w:p>
            <w:pPr>
              <w:ind w:left="1180"/>
              <w:spacing w:after="0" w:line="238" w:lineRule="exact"/>
              <w:rPr>
                <w:sz w:val="20"/>
                <w:szCs w:val="20"/>
                <w:color w:val="auto"/>
              </w:rPr>
            </w:pPr>
            <w:r>
              <w:rPr>
                <w:rFonts w:ascii="Arial" w:cs="Arial" w:eastAsia="Arial" w:hAnsi="Arial"/>
                <w:sz w:val="21"/>
                <w:szCs w:val="21"/>
                <w:color w:val="auto"/>
                <w:w w:val="98"/>
              </w:rPr>
              <w:t>● 2203</w:t>
            </w:r>
          </w:p>
        </w:tc>
        <w:tc>
          <w:tcPr>
            <w:tcW w:w="3680" w:type="dxa"/>
            <w:vAlign w:val="bottom"/>
          </w:tcPr>
          <w:p>
            <w:pPr>
              <w:ind w:left="40"/>
              <w:spacing w:after="0" w:line="238" w:lineRule="exact"/>
              <w:rPr>
                <w:sz w:val="20"/>
                <w:szCs w:val="20"/>
                <w:color w:val="auto"/>
              </w:rPr>
            </w:pPr>
            <w:r>
              <w:rPr>
                <w:rFonts w:ascii="Arial" w:cs="Arial" w:eastAsia="Arial" w:hAnsi="Arial"/>
                <w:sz w:val="21"/>
                <w:szCs w:val="21"/>
                <w:color w:val="auto"/>
              </w:rPr>
              <w:t>- Cerveja de malte</w:t>
            </w:r>
          </w:p>
        </w:tc>
        <w:tc>
          <w:tcPr>
            <w:tcW w:w="3160" w:type="dxa"/>
            <w:vAlign w:val="bottom"/>
          </w:tcPr>
          <w:p>
            <w:pPr>
              <w:spacing w:after="0"/>
              <w:rPr>
                <w:sz w:val="20"/>
                <w:szCs w:val="20"/>
                <w:color w:val="auto"/>
              </w:rPr>
            </w:pPr>
          </w:p>
        </w:tc>
      </w:tr>
      <w:tr>
        <w:trPr>
          <w:trHeight w:val="238"/>
        </w:trPr>
        <w:tc>
          <w:tcPr>
            <w:tcW w:w="1840" w:type="dxa"/>
            <w:vAlign w:val="bottom"/>
          </w:tcPr>
          <w:p>
            <w:pPr>
              <w:ind w:left="1180"/>
              <w:spacing w:after="0" w:line="238" w:lineRule="exact"/>
              <w:rPr>
                <w:sz w:val="20"/>
                <w:szCs w:val="20"/>
                <w:color w:val="auto"/>
              </w:rPr>
            </w:pPr>
            <w:r>
              <w:rPr>
                <w:rFonts w:ascii="Arial" w:cs="Arial" w:eastAsia="Arial" w:hAnsi="Arial"/>
                <w:sz w:val="21"/>
                <w:szCs w:val="21"/>
                <w:color w:val="auto"/>
                <w:w w:val="98"/>
              </w:rPr>
              <w:t>● 2204</w:t>
            </w:r>
          </w:p>
        </w:tc>
        <w:tc>
          <w:tcPr>
            <w:tcW w:w="3680" w:type="dxa"/>
            <w:vAlign w:val="bottom"/>
          </w:tcPr>
          <w:p>
            <w:pPr>
              <w:ind w:left="40"/>
              <w:spacing w:after="0" w:line="238" w:lineRule="exact"/>
              <w:rPr>
                <w:sz w:val="20"/>
                <w:szCs w:val="20"/>
                <w:color w:val="auto"/>
              </w:rPr>
            </w:pPr>
            <w:r>
              <w:rPr>
                <w:rFonts w:ascii="Arial" w:cs="Arial" w:eastAsia="Arial" w:hAnsi="Arial"/>
                <w:sz w:val="21"/>
                <w:szCs w:val="21"/>
                <w:color w:val="auto"/>
              </w:rPr>
              <w:t>- Vinho (por exemplo, vinho</w:t>
            </w:r>
          </w:p>
        </w:tc>
        <w:tc>
          <w:tcPr>
            <w:tcW w:w="3160" w:type="dxa"/>
            <w:vAlign w:val="bottom"/>
          </w:tcPr>
          <w:p>
            <w:pPr>
              <w:spacing w:after="0"/>
              <w:rPr>
                <w:sz w:val="20"/>
                <w:szCs w:val="20"/>
                <w:color w:val="auto"/>
              </w:rPr>
            </w:pPr>
          </w:p>
        </w:tc>
      </w:tr>
      <w:tr>
        <w:trPr>
          <w:trHeight w:val="235"/>
        </w:trPr>
        <w:tc>
          <w:tcPr>
            <w:tcW w:w="5520" w:type="dxa"/>
            <w:vAlign w:val="bottom"/>
            <w:gridSpan w:val="2"/>
          </w:tcPr>
          <w:p>
            <w:pPr>
              <w:ind w:left="1180"/>
              <w:spacing w:after="0" w:line="235" w:lineRule="exact"/>
              <w:rPr>
                <w:sz w:val="20"/>
                <w:szCs w:val="20"/>
                <w:color w:val="auto"/>
              </w:rPr>
            </w:pPr>
            <w:r>
              <w:rPr>
                <w:rFonts w:ascii="Arial" w:cs="Arial" w:eastAsia="Arial" w:hAnsi="Arial"/>
                <w:sz w:val="21"/>
                <w:szCs w:val="21"/>
                <w:color w:val="auto"/>
              </w:rPr>
              <w:t>espumante)</w:t>
            </w:r>
          </w:p>
        </w:tc>
        <w:tc>
          <w:tcPr>
            <w:tcW w:w="3160" w:type="dxa"/>
            <w:vAlign w:val="bottom"/>
          </w:tcPr>
          <w:p>
            <w:pPr>
              <w:spacing w:after="0"/>
              <w:rPr>
                <w:sz w:val="20"/>
                <w:szCs w:val="20"/>
                <w:color w:val="auto"/>
              </w:rPr>
            </w:pPr>
          </w:p>
        </w:tc>
      </w:tr>
    </w:tbl>
    <w:p>
      <w:pPr>
        <w:ind w:left="2340" w:right="3820" w:hanging="939"/>
        <w:spacing w:after="0" w:line="249" w:lineRule="auto"/>
        <w:tabs>
          <w:tab w:leader="none" w:pos="2320" w:val="left"/>
        </w:tabs>
        <w:rPr>
          <w:sz w:val="20"/>
          <w:szCs w:val="20"/>
          <w:color w:val="auto"/>
        </w:rPr>
      </w:pPr>
      <w:r>
        <w:rPr>
          <w:rFonts w:ascii="Arial" w:cs="Arial" w:eastAsia="Arial" w:hAnsi="Arial"/>
          <w:sz w:val="21"/>
          <w:szCs w:val="21"/>
          <w:b w:val="1"/>
          <w:bCs w:val="1"/>
          <w:color w:val="auto"/>
        </w:rPr>
        <w:t>XIII-15</w:t>
      </w:r>
      <w:r>
        <w:rPr>
          <w:sz w:val="20"/>
          <w:szCs w:val="20"/>
          <w:color w:val="auto"/>
        </w:rPr>
        <w:tab/>
      </w:r>
      <w:r>
        <w:rPr>
          <w:rFonts w:ascii="Arial" w:cs="Arial" w:eastAsia="Arial" w:hAnsi="Arial"/>
          <w:sz w:val="20"/>
          <w:szCs w:val="20"/>
          <w:color w:val="auto"/>
        </w:rPr>
        <w:t>● 2205 - Vermute e outros vinhos aromatizados com plantas ou substâncias aromáticas.</w:t>
      </w:r>
    </w:p>
    <w:p>
      <w:pPr>
        <w:spacing w:after="0" w:line="1" w:lineRule="exact"/>
        <w:rPr>
          <w:sz w:val="20"/>
          <w:szCs w:val="20"/>
          <w:color w:val="auto"/>
        </w:rPr>
      </w:pPr>
    </w:p>
    <w:p>
      <w:pPr>
        <w:ind w:left="2340" w:right="4340" w:hanging="5"/>
        <w:spacing w:after="0" w:line="236" w:lineRule="auto"/>
        <w:tabs>
          <w:tab w:leader="none" w:pos="2522" w:val="left"/>
        </w:tabs>
        <w:numPr>
          <w:ilvl w:val="0"/>
          <w:numId w:val="41"/>
        </w:numPr>
        <w:rPr>
          <w:rFonts w:ascii="Arial" w:cs="Arial" w:eastAsia="Arial" w:hAnsi="Arial"/>
          <w:sz w:val="21"/>
          <w:szCs w:val="21"/>
          <w:color w:val="auto"/>
        </w:rPr>
      </w:pPr>
      <w:r>
        <w:rPr>
          <w:rFonts w:ascii="Arial" w:cs="Arial" w:eastAsia="Arial" w:hAnsi="Arial"/>
          <w:sz w:val="21"/>
          <w:szCs w:val="21"/>
          <w:color w:val="auto"/>
        </w:rPr>
        <w:t>2206 - Álcool carbonatado, por exemplo Perry espumante</w:t>
      </w:r>
    </w:p>
    <w:p>
      <w:pPr>
        <w:ind w:left="2500" w:right="5200" w:hanging="165"/>
        <w:spacing w:after="0" w:line="248" w:lineRule="auto"/>
        <w:tabs>
          <w:tab w:leader="none" w:pos="2508" w:val="left"/>
        </w:tabs>
        <w:numPr>
          <w:ilvl w:val="0"/>
          <w:numId w:val="41"/>
        </w:numPr>
        <w:rPr>
          <w:rFonts w:ascii="Arial" w:cs="Arial" w:eastAsia="Arial" w:hAnsi="Arial"/>
          <w:sz w:val="20"/>
          <w:szCs w:val="20"/>
          <w:color w:val="auto"/>
        </w:rPr>
      </w:pPr>
      <w:r>
        <w:rPr>
          <w:rFonts w:ascii="Arial" w:cs="Arial" w:eastAsia="Arial" w:hAnsi="Arial"/>
          <w:sz w:val="20"/>
          <w:szCs w:val="20"/>
          <w:color w:val="auto"/>
        </w:rPr>
        <w:t>2208 - Bebidas alcoólicas com teor alcoólico inferior a 80%</w:t>
      </w:r>
    </w:p>
    <w:p>
      <w:pPr>
        <w:ind w:left="2500"/>
        <w:spacing w:after="0" w:line="237" w:lineRule="auto"/>
        <w:rPr>
          <w:sz w:val="20"/>
          <w:szCs w:val="20"/>
          <w:color w:val="auto"/>
        </w:rPr>
      </w:pPr>
      <w:r>
        <w:rPr>
          <w:rFonts w:ascii="Arial" w:cs="Arial" w:eastAsia="Arial" w:hAnsi="Arial"/>
          <w:sz w:val="21"/>
          <w:szCs w:val="21"/>
          <w:color w:val="auto"/>
        </w:rPr>
        <w:t>por volume e</w:t>
      </w:r>
    </w:p>
    <w:p>
      <w:pPr>
        <w:ind w:left="2500"/>
        <w:spacing w:after="0" w:line="236" w:lineRule="auto"/>
        <w:rPr>
          <w:sz w:val="20"/>
          <w:szCs w:val="20"/>
          <w:color w:val="auto"/>
        </w:rPr>
      </w:pPr>
      <w:r>
        <w:rPr>
          <w:rFonts w:ascii="Arial" w:cs="Arial" w:eastAsia="Arial" w:hAnsi="Arial"/>
          <w:sz w:val="21"/>
          <w:szCs w:val="21"/>
          <w:color w:val="auto"/>
        </w:rPr>
        <w:t>licores e outras bebidas espirituosas</w:t>
      </w:r>
    </w:p>
    <w:p>
      <w:pPr>
        <w:ind w:left="2460"/>
        <w:spacing w:after="0" w:line="236" w:lineRule="auto"/>
        <w:rPr>
          <w:sz w:val="20"/>
          <w:szCs w:val="20"/>
          <w:color w:val="auto"/>
        </w:rPr>
      </w:pPr>
      <w:r>
        <w:rPr>
          <w:rFonts w:ascii="Arial" w:cs="Arial" w:eastAsia="Arial" w:hAnsi="Arial"/>
          <w:sz w:val="21"/>
          <w:szCs w:val="21"/>
          <w:color w:val="auto"/>
        </w:rPr>
        <w:t>(por exemplo, uísques, rum,</w:t>
      </w:r>
    </w:p>
    <w:p>
      <w:pPr>
        <w:spacing w:after="0" w:line="1" w:lineRule="exact"/>
        <w:rPr>
          <w:sz w:val="20"/>
          <w:szCs w:val="20"/>
          <w:color w:val="auto"/>
        </w:rPr>
      </w:pPr>
    </w:p>
    <w:p>
      <w:pPr>
        <w:ind w:left="2500"/>
        <w:spacing w:after="0"/>
        <w:rPr>
          <w:sz w:val="20"/>
          <w:szCs w:val="20"/>
          <w:color w:val="auto"/>
        </w:rPr>
      </w:pPr>
      <w:r>
        <w:rPr>
          <w:rFonts w:ascii="Arial" w:cs="Arial" w:eastAsia="Arial" w:hAnsi="Arial"/>
          <w:sz w:val="21"/>
          <w:szCs w:val="21"/>
          <w:color w:val="auto"/>
        </w:rPr>
        <w:t>gin, vodka, etc.)</w:t>
      </w:r>
    </w:p>
    <w:p>
      <w:pPr>
        <w:sectPr>
          <w:pgSz w:w="11900" w:h="16838" w:orient="portrait"/>
          <w:cols w:equalWidth="0" w:num="1">
            <w:col w:w="10520"/>
          </w:cols>
          <w:pgMar w:left="680" w:top="803" w:right="706" w:bottom="1440" w:gutter="0" w:footer="0" w:header="0"/>
        </w:sectPr>
      </w:pPr>
    </w:p>
    <w:bookmarkStart w:id="23" w:name="page24"/>
    <w:bookmarkEnd w:id="23"/>
    <w:tbl>
      <w:tblPr>
        <w:tblLayout w:type="fixed"/>
        <w:tblInd w:w="0" w:type="dxa"/>
        <w:tblCellMar>
          <w:top w:w="0" w:type="dxa"/>
          <w:left w:w="0" w:type="dxa"/>
          <w:bottom w:w="0" w:type="dxa"/>
          <w:right w:w="0" w:type="dxa"/>
        </w:tblCellMar>
      </w:tblPr>
      <w:tr>
        <w:trPr>
          <w:trHeight w:val="241"/>
        </w:trPr>
        <w:tc>
          <w:tcPr>
            <w:tcW w:w="1180" w:type="dxa"/>
            <w:vAlign w:val="bottom"/>
          </w:tcPr>
          <w:p>
            <w:pPr>
              <w:jc w:val="right"/>
              <w:ind w:right="780"/>
              <w:spacing w:after="0"/>
              <w:rPr>
                <w:sz w:val="20"/>
                <w:szCs w:val="20"/>
                <w:color w:val="auto"/>
              </w:rPr>
            </w:pPr>
            <w:r>
              <w:rPr>
                <w:rFonts w:ascii="Times New Roman" w:cs="Times New Roman" w:eastAsia="Times New Roman" w:hAnsi="Times New Roman"/>
                <w:sz w:val="20"/>
                <w:szCs w:val="20"/>
                <w:color w:val="auto"/>
                <w:w w:val="93"/>
              </w:rPr>
              <w:t>368</w:t>
            </w:r>
          </w:p>
        </w:tc>
        <w:tc>
          <w:tcPr>
            <w:tcW w:w="108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3700" w:type="dxa"/>
            <w:vAlign w:val="bottom"/>
            <w:gridSpan w:val="2"/>
          </w:tcPr>
          <w:p>
            <w:pPr>
              <w:ind w:left="1640"/>
              <w:spacing w:after="0"/>
              <w:rPr>
                <w:sz w:val="20"/>
                <w:szCs w:val="20"/>
                <w:color w:val="auto"/>
              </w:rPr>
            </w:pPr>
            <w:r>
              <w:rPr>
                <w:rFonts w:ascii="Times New Roman" w:cs="Times New Roman" w:eastAsia="Times New Roman" w:hAnsi="Times New Roman"/>
                <w:sz w:val="20"/>
                <w:szCs w:val="20"/>
                <w:i w:val="1"/>
                <w:iCs w:val="1"/>
                <w:color w:val="auto"/>
              </w:rPr>
              <w:t>I SÉRIE — NÚMERO 50</w:t>
            </w:r>
          </w:p>
        </w:tc>
        <w:tc>
          <w:tcPr>
            <w:tcW w:w="0" w:type="dxa"/>
            <w:vAlign w:val="bottom"/>
          </w:tcPr>
          <w:p>
            <w:pPr>
              <w:spacing w:after="0"/>
              <w:rPr>
                <w:sz w:val="1"/>
                <w:szCs w:val="1"/>
                <w:color w:val="auto"/>
              </w:rPr>
            </w:pPr>
          </w:p>
        </w:tc>
      </w:tr>
      <w:tr>
        <w:trPr>
          <w:trHeight w:val="40"/>
        </w:trPr>
        <w:tc>
          <w:tcPr>
            <w:tcW w:w="1180" w:type="dxa"/>
            <w:vAlign w:val="bottom"/>
            <w:tcBorders>
              <w:bottom w:val="single" w:sz="8" w:color="auto"/>
            </w:tcBorders>
          </w:tcPr>
          <w:p>
            <w:pPr>
              <w:spacing w:after="0"/>
              <w:rPr>
                <w:sz w:val="3"/>
                <w:szCs w:val="3"/>
                <w:color w:val="auto"/>
              </w:rPr>
            </w:pPr>
          </w:p>
        </w:tc>
        <w:tc>
          <w:tcPr>
            <w:tcW w:w="108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76"/>
        </w:trPr>
        <w:tc>
          <w:tcPr>
            <w:tcW w:w="118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vMerge w:val="restart"/>
          </w:tcPr>
          <w:p>
            <w:pPr>
              <w:spacing w:after="0"/>
              <w:rPr>
                <w:sz w:val="24"/>
                <w:szCs w:val="24"/>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7580" w:type="dxa"/>
            <w:vAlign w:val="bottom"/>
            <w:tcBorders>
              <w:bottom w:val="single" w:sz="8" w:color="auto"/>
              <w:right w:val="single" w:sz="8" w:color="auto"/>
            </w:tcBorders>
            <w:gridSpan w:val="2"/>
          </w:tcPr>
          <w:p>
            <w:pPr>
              <w:ind w:left="1820"/>
              <w:spacing w:after="0" w:line="226" w:lineRule="exact"/>
              <w:rPr>
                <w:sz w:val="20"/>
                <w:szCs w:val="20"/>
                <w:color w:val="auto"/>
              </w:rPr>
            </w:pPr>
            <w:r>
              <w:rPr>
                <w:rFonts w:ascii="Arial" w:cs="Arial" w:eastAsia="Arial" w:hAnsi="Arial"/>
                <w:sz w:val="21"/>
                <w:szCs w:val="21"/>
                <w:b w:val="1"/>
                <w:bCs w:val="1"/>
                <w:color w:val="auto"/>
              </w:rPr>
              <w:t>Produtos lácteos e refrescos</w:t>
            </w:r>
          </w:p>
        </w:tc>
        <w:tc>
          <w:tcPr>
            <w:tcW w:w="68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4"/>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15" w:lineRule="exact"/>
              <w:rPr>
                <w:sz w:val="20"/>
                <w:szCs w:val="20"/>
                <w:color w:val="auto"/>
              </w:rPr>
            </w:pPr>
            <w:r>
              <w:rPr>
                <w:rFonts w:ascii="Arial" w:cs="Arial" w:eastAsia="Arial" w:hAnsi="Arial"/>
                <w:sz w:val="21"/>
                <w:szCs w:val="21"/>
                <w:b w:val="1"/>
                <w:bCs w:val="1"/>
                <w:color w:val="auto"/>
                <w:w w:val="96"/>
              </w:rPr>
              <w:t>XIII-16</w:t>
            </w:r>
          </w:p>
        </w:tc>
        <w:tc>
          <w:tcPr>
            <w:tcW w:w="4560" w:type="dxa"/>
            <w:vAlign w:val="bottom"/>
            <w:tcBorders>
              <w:right w:val="single" w:sz="8" w:color="auto"/>
            </w:tcBorders>
          </w:tcPr>
          <w:p>
            <w:pPr>
              <w:ind w:left="80"/>
              <w:spacing w:after="0" w:line="215" w:lineRule="exact"/>
              <w:rPr>
                <w:sz w:val="20"/>
                <w:szCs w:val="20"/>
                <w:color w:val="auto"/>
              </w:rPr>
            </w:pPr>
            <w:r>
              <w:rPr>
                <w:rFonts w:ascii="Arial" w:cs="Arial" w:eastAsia="Arial" w:hAnsi="Arial"/>
                <w:sz w:val="21"/>
                <w:szCs w:val="21"/>
                <w:color w:val="auto"/>
              </w:rPr>
              <w:t>Leite evaporado, em pó e em formas</w:t>
            </w:r>
          </w:p>
        </w:tc>
        <w:tc>
          <w:tcPr>
            <w:tcW w:w="3020" w:type="dxa"/>
            <w:vAlign w:val="bottom"/>
            <w:tcBorders>
              <w:right w:val="single" w:sz="8" w:color="auto"/>
            </w:tcBorders>
          </w:tcPr>
          <w:p>
            <w:pPr>
              <w:ind w:left="80"/>
              <w:spacing w:after="0" w:line="215" w:lineRule="exact"/>
              <w:rPr>
                <w:sz w:val="20"/>
                <w:szCs w:val="20"/>
                <w:color w:val="auto"/>
              </w:rPr>
            </w:pPr>
            <w:r>
              <w:rPr>
                <w:rFonts w:ascii="Arial" w:cs="Arial" w:eastAsia="Arial" w:hAnsi="Arial"/>
                <w:sz w:val="21"/>
                <w:szCs w:val="21"/>
                <w:color w:val="auto"/>
              </w:rPr>
              <w:t>0401, 0402</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8"/>
        </w:trPr>
        <w:tc>
          <w:tcPr>
            <w:tcW w:w="1180" w:type="dxa"/>
            <w:vAlign w:val="bottom"/>
            <w:tcBorders>
              <w:right w:val="single" w:sz="8" w:color="auto"/>
            </w:tcBorders>
          </w:tcPr>
          <w:p>
            <w:pPr>
              <w:spacing w:after="0"/>
              <w:rPr>
                <w:sz w:val="21"/>
                <w:szCs w:val="21"/>
                <w:color w:val="auto"/>
              </w:rPr>
            </w:pPr>
          </w:p>
        </w:tc>
        <w:tc>
          <w:tcPr>
            <w:tcW w:w="1080" w:type="dxa"/>
            <w:vAlign w:val="bottom"/>
            <w:tcBorders>
              <w:right w:val="single" w:sz="8" w:color="auto"/>
            </w:tcBorders>
          </w:tcPr>
          <w:p>
            <w:pPr>
              <w:spacing w:after="0"/>
              <w:rPr>
                <w:sz w:val="21"/>
                <w:szCs w:val="21"/>
                <w:color w:val="auto"/>
              </w:rPr>
            </w:pPr>
          </w:p>
        </w:tc>
        <w:tc>
          <w:tcPr>
            <w:tcW w:w="4560" w:type="dxa"/>
            <w:vAlign w:val="bottom"/>
            <w:tcBorders>
              <w:right w:val="single" w:sz="8" w:color="auto"/>
            </w:tcBorders>
          </w:tcPr>
          <w:p>
            <w:pPr>
              <w:ind w:left="80"/>
              <w:spacing w:after="0" w:line="248" w:lineRule="exact"/>
              <w:rPr>
                <w:sz w:val="20"/>
                <w:szCs w:val="20"/>
                <w:color w:val="auto"/>
              </w:rPr>
            </w:pPr>
            <w:r>
              <w:rPr>
                <w:rFonts w:ascii="Arial" w:cs="Arial" w:eastAsia="Arial" w:hAnsi="Arial"/>
                <w:sz w:val="21"/>
                <w:szCs w:val="21"/>
                <w:color w:val="auto"/>
              </w:rPr>
              <w:t xml:space="preserve">semelhantes </w:t>
            </w:r>
            <w:r>
              <w:rPr>
                <w:rFonts w:ascii="Calibri" w:cs="Calibri" w:eastAsia="Calibri" w:hAnsi="Calibri"/>
                <w:sz w:val="21"/>
                <w:szCs w:val="21"/>
                <w:color w:val="auto"/>
              </w:rPr>
              <w:t>a</w:t>
            </w:r>
            <w:r>
              <w:rPr>
                <w:rFonts w:ascii="Arial" w:cs="Arial" w:eastAsia="Arial" w:hAnsi="Arial"/>
                <w:sz w:val="21"/>
                <w:szCs w:val="21"/>
                <w:color w:val="auto"/>
              </w:rPr>
              <w:t>os descritos nos códigos HS:</w:t>
            </w:r>
          </w:p>
        </w:tc>
        <w:tc>
          <w:tcPr>
            <w:tcW w:w="3020" w:type="dxa"/>
            <w:vAlign w:val="bottom"/>
            <w:tcBorders>
              <w:right w:val="single" w:sz="8" w:color="auto"/>
            </w:tcBorders>
          </w:tcPr>
          <w:p>
            <w:pPr>
              <w:spacing w:after="0"/>
              <w:rPr>
                <w:sz w:val="21"/>
                <w:szCs w:val="21"/>
                <w:color w:val="auto"/>
              </w:rPr>
            </w:pPr>
          </w:p>
        </w:tc>
        <w:tc>
          <w:tcPr>
            <w:tcW w:w="6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0401 - Não concentrado nem contendo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açúcar ou adoçantes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0402 - Concentrado ou com adição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de açúcar ou adoçantes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6"/>
              </w:rPr>
              <w:t>XIII-17</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Leitelho, iogurte e outros produtos de leite</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0403</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creme fermentados ou acidificados quer</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sejam ou não concentrados ou adicionados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açúcar ou outros edulcorantes,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aromatizados ou adicionados de frutas, nozes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ou cacau</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6"/>
              </w:rPr>
              <w:t>XIII-18</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Manteiga, cremes de leite, creme, queijo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0405, 0406, 1517</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e produtos semelhantes</w:t>
            </w:r>
          </w:p>
        </w:tc>
        <w:tc>
          <w:tcPr>
            <w:tcW w:w="3020" w:type="dxa"/>
            <w:vAlign w:val="bottom"/>
            <w:tcBorders>
              <w:right w:val="single" w:sz="8" w:color="auto"/>
            </w:tcBorders>
          </w:tcPr>
          <w:p>
            <w:pPr>
              <w:spacing w:after="0"/>
              <w:rPr>
                <w:sz w:val="23"/>
                <w:szCs w:val="23"/>
                <w:color w:val="auto"/>
              </w:rPr>
            </w:pP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19"/>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spacing w:after="0"/>
              <w:rPr>
                <w:sz w:val="19"/>
                <w:szCs w:val="19"/>
                <w:color w:val="auto"/>
              </w:rPr>
            </w:pPr>
          </w:p>
        </w:tc>
        <w:tc>
          <w:tcPr>
            <w:tcW w:w="4560" w:type="dxa"/>
            <w:vAlign w:val="bottom"/>
            <w:tcBorders>
              <w:bottom w:val="single" w:sz="8" w:color="auto"/>
              <w:right w:val="single" w:sz="8" w:color="auto"/>
            </w:tcBorders>
          </w:tcPr>
          <w:p>
            <w:pPr>
              <w:spacing w:after="0"/>
              <w:rPr>
                <w:sz w:val="19"/>
                <w:szCs w:val="19"/>
                <w:color w:val="auto"/>
              </w:rPr>
            </w:pPr>
          </w:p>
        </w:tc>
        <w:tc>
          <w:tcPr>
            <w:tcW w:w="3020" w:type="dxa"/>
            <w:vAlign w:val="bottom"/>
            <w:tcBorders>
              <w:bottom w:val="single" w:sz="8" w:color="auto"/>
              <w:right w:val="single" w:sz="8" w:color="auto"/>
            </w:tcBorders>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jc w:val="center"/>
              <w:spacing w:after="0"/>
              <w:rPr>
                <w:sz w:val="20"/>
                <w:szCs w:val="20"/>
                <w:color w:val="auto"/>
              </w:rPr>
            </w:pPr>
            <w:r>
              <w:rPr>
                <w:rFonts w:ascii="Arial" w:cs="Arial" w:eastAsia="Arial" w:hAnsi="Arial"/>
                <w:sz w:val="21"/>
                <w:szCs w:val="21"/>
                <w:b w:val="1"/>
                <w:bCs w:val="1"/>
                <w:color w:val="auto"/>
                <w:w w:val="96"/>
              </w:rPr>
              <w:t>XIII-19</w:t>
            </w: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Produtos de soro de leite, caseína e albumina</w:t>
            </w:r>
          </w:p>
        </w:tc>
        <w:tc>
          <w:tcPr>
            <w:tcW w:w="302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3501, 3502, 0404</w:t>
            </w: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89"/>
        </w:trPr>
        <w:tc>
          <w:tcPr>
            <w:tcW w:w="1180" w:type="dxa"/>
            <w:vAlign w:val="bottom"/>
            <w:tcBorders>
              <w:right w:val="single" w:sz="8" w:color="auto"/>
            </w:tcBorders>
          </w:tcPr>
          <w:p>
            <w:pPr>
              <w:spacing w:after="0"/>
              <w:rPr>
                <w:sz w:val="16"/>
                <w:szCs w:val="16"/>
                <w:color w:val="auto"/>
              </w:rPr>
            </w:pPr>
          </w:p>
        </w:tc>
        <w:tc>
          <w:tcPr>
            <w:tcW w:w="1080" w:type="dxa"/>
            <w:vAlign w:val="bottom"/>
            <w:tcBorders>
              <w:bottom w:val="single" w:sz="8" w:color="auto"/>
              <w:right w:val="single" w:sz="8" w:color="auto"/>
            </w:tcBorders>
          </w:tcPr>
          <w:p>
            <w:pPr>
              <w:spacing w:after="0"/>
              <w:rPr>
                <w:sz w:val="16"/>
                <w:szCs w:val="16"/>
                <w:color w:val="auto"/>
              </w:rPr>
            </w:pPr>
          </w:p>
        </w:tc>
        <w:tc>
          <w:tcPr>
            <w:tcW w:w="4560" w:type="dxa"/>
            <w:vAlign w:val="bottom"/>
            <w:tcBorders>
              <w:bottom w:val="single" w:sz="8" w:color="auto"/>
              <w:right w:val="single" w:sz="8" w:color="auto"/>
            </w:tcBorders>
          </w:tcPr>
          <w:p>
            <w:pPr>
              <w:spacing w:after="0"/>
              <w:rPr>
                <w:sz w:val="16"/>
                <w:szCs w:val="16"/>
                <w:color w:val="auto"/>
              </w:rPr>
            </w:pPr>
          </w:p>
        </w:tc>
        <w:tc>
          <w:tcPr>
            <w:tcW w:w="3020" w:type="dxa"/>
            <w:vAlign w:val="bottom"/>
            <w:tcBorders>
              <w:bottom w:val="single" w:sz="8" w:color="auto"/>
              <w:right w:val="single" w:sz="8" w:color="auto"/>
            </w:tcBorders>
          </w:tcPr>
          <w:p>
            <w:pPr>
              <w:spacing w:after="0"/>
              <w:rPr>
                <w:sz w:val="16"/>
                <w:szCs w:val="16"/>
                <w:color w:val="auto"/>
              </w:rPr>
            </w:pPr>
          </w:p>
        </w:tc>
        <w:tc>
          <w:tcPr>
            <w:tcW w:w="6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6"/>
              </w:rPr>
              <w:t>XIII-20</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Sorvetes e outros sorvetes comestíveis,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2105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contendo ou não cacau</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4560" w:type="dxa"/>
            <w:vAlign w:val="bottom"/>
            <w:tcBorders>
              <w:bottom w:val="single" w:sz="8" w:color="auto"/>
            </w:tcBorders>
          </w:tcPr>
          <w:p>
            <w:pPr>
              <w:ind w:left="600"/>
              <w:spacing w:after="0" w:line="226" w:lineRule="exact"/>
              <w:rPr>
                <w:sz w:val="20"/>
                <w:szCs w:val="20"/>
                <w:color w:val="auto"/>
              </w:rPr>
            </w:pPr>
            <w:r>
              <w:rPr>
                <w:rFonts w:ascii="Arial" w:cs="Arial" w:eastAsia="Arial" w:hAnsi="Arial"/>
                <w:sz w:val="21"/>
                <w:szCs w:val="21"/>
                <w:b w:val="1"/>
                <w:bCs w:val="1"/>
                <w:color w:val="auto"/>
                <w:w w:val="97"/>
              </w:rPr>
              <w:t>Temperos, especiarias e outros sabores</w:t>
            </w:r>
          </w:p>
        </w:tc>
        <w:tc>
          <w:tcPr>
            <w:tcW w:w="3020" w:type="dxa"/>
            <w:vAlign w:val="bottom"/>
            <w:tcBorders>
              <w:bottom w:val="single" w:sz="8" w:color="auto"/>
              <w:right w:val="single" w:sz="8" w:color="auto"/>
            </w:tcBorders>
          </w:tcPr>
          <w:p>
            <w:pPr>
              <w:ind w:left="40"/>
              <w:spacing w:after="0" w:line="226" w:lineRule="exact"/>
              <w:rPr>
                <w:sz w:val="20"/>
                <w:szCs w:val="20"/>
                <w:color w:val="auto"/>
              </w:rPr>
            </w:pPr>
            <w:r>
              <w:rPr>
                <w:rFonts w:ascii="Arial" w:cs="Arial" w:eastAsia="Arial" w:hAnsi="Arial"/>
                <w:sz w:val="21"/>
                <w:szCs w:val="21"/>
                <w:b w:val="1"/>
                <w:bCs w:val="1"/>
                <w:color w:val="auto"/>
              </w:rPr>
              <w:t>de alimentos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w w:val="96"/>
              </w:rPr>
              <w:t>XIII-21</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Açúcar e produtos de mel, incluíndo os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0409,1701,1702, 1703</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descritos nos códigos HS: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6"/>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6" w:lineRule="exact"/>
              <w:rPr>
                <w:sz w:val="20"/>
                <w:szCs w:val="20"/>
                <w:color w:val="auto"/>
              </w:rPr>
            </w:pPr>
            <w:r>
              <w:rPr>
                <w:rFonts w:ascii="Arial" w:cs="Arial" w:eastAsia="Arial" w:hAnsi="Arial"/>
                <w:sz w:val="21"/>
                <w:szCs w:val="21"/>
                <w:color w:val="auto"/>
              </w:rPr>
              <w:t>● 0409 - Mel natural</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1701 - Açúcar de cana ou beterraba (crú</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refinado) e sacarose quimicamente pura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1702 - Outros açúcares, por exemplo lactose,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maltose, etc. incluindo mel artificial e caramelo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1703 - Melaço resultante da extracção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ou refinação de açúcar</w:t>
            </w:r>
          </w:p>
        </w:tc>
        <w:tc>
          <w:tcPr>
            <w:tcW w:w="3020" w:type="dxa"/>
            <w:vAlign w:val="bottom"/>
            <w:tcBorders>
              <w:right w:val="single" w:sz="8" w:color="auto"/>
            </w:tcBorders>
          </w:tcPr>
          <w:p>
            <w:pPr>
              <w:spacing w:after="0"/>
              <w:rPr>
                <w:sz w:val="23"/>
                <w:szCs w:val="23"/>
                <w:color w:val="auto"/>
              </w:rPr>
            </w:pP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19"/>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spacing w:after="0"/>
              <w:rPr>
                <w:sz w:val="19"/>
                <w:szCs w:val="19"/>
                <w:color w:val="auto"/>
              </w:rPr>
            </w:pPr>
          </w:p>
        </w:tc>
        <w:tc>
          <w:tcPr>
            <w:tcW w:w="4560" w:type="dxa"/>
            <w:vAlign w:val="bottom"/>
            <w:tcBorders>
              <w:bottom w:val="single" w:sz="8" w:color="auto"/>
              <w:right w:val="single" w:sz="8" w:color="auto"/>
            </w:tcBorders>
          </w:tcPr>
          <w:p>
            <w:pPr>
              <w:spacing w:after="0"/>
              <w:rPr>
                <w:sz w:val="19"/>
                <w:szCs w:val="19"/>
                <w:color w:val="auto"/>
              </w:rPr>
            </w:pPr>
          </w:p>
        </w:tc>
        <w:tc>
          <w:tcPr>
            <w:tcW w:w="3020" w:type="dxa"/>
            <w:vAlign w:val="bottom"/>
            <w:tcBorders>
              <w:bottom w:val="single" w:sz="8" w:color="auto"/>
              <w:right w:val="single" w:sz="8" w:color="auto"/>
            </w:tcBorders>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8"/>
        </w:trPr>
        <w:tc>
          <w:tcPr>
            <w:tcW w:w="1180" w:type="dxa"/>
            <w:vAlign w:val="bottom"/>
            <w:tcBorders>
              <w:right w:val="single" w:sz="8" w:color="auto"/>
            </w:tcBorders>
          </w:tcPr>
          <w:p>
            <w:pPr>
              <w:spacing w:after="0"/>
              <w:rPr>
                <w:sz w:val="19"/>
                <w:szCs w:val="19"/>
                <w:color w:val="auto"/>
              </w:rPr>
            </w:pPr>
          </w:p>
        </w:tc>
        <w:tc>
          <w:tcPr>
            <w:tcW w:w="1080" w:type="dxa"/>
            <w:vAlign w:val="bottom"/>
            <w:tcBorders>
              <w:bottom w:val="single" w:sz="8" w:color="auto"/>
              <w:right w:val="single" w:sz="8" w:color="auto"/>
            </w:tcBorders>
          </w:tcPr>
          <w:p>
            <w:pPr>
              <w:jc w:val="center"/>
              <w:spacing w:after="0" w:line="228" w:lineRule="exact"/>
              <w:rPr>
                <w:sz w:val="20"/>
                <w:szCs w:val="20"/>
                <w:color w:val="auto"/>
              </w:rPr>
            </w:pPr>
            <w:r>
              <w:rPr>
                <w:rFonts w:ascii="Arial" w:cs="Arial" w:eastAsia="Arial" w:hAnsi="Arial"/>
                <w:sz w:val="21"/>
                <w:szCs w:val="21"/>
                <w:b w:val="1"/>
                <w:bCs w:val="1"/>
                <w:color w:val="auto"/>
                <w:w w:val="96"/>
              </w:rPr>
              <w:t>XIII-22</w:t>
            </w:r>
          </w:p>
        </w:tc>
        <w:tc>
          <w:tcPr>
            <w:tcW w:w="4560" w:type="dxa"/>
            <w:vAlign w:val="bottom"/>
            <w:tcBorders>
              <w:bottom w:val="single" w:sz="8" w:color="auto"/>
              <w:right w:val="single" w:sz="8" w:color="auto"/>
            </w:tcBorders>
          </w:tcPr>
          <w:p>
            <w:pPr>
              <w:ind w:left="80"/>
              <w:spacing w:after="0" w:line="228" w:lineRule="exact"/>
              <w:rPr>
                <w:sz w:val="20"/>
                <w:szCs w:val="20"/>
                <w:color w:val="auto"/>
              </w:rPr>
            </w:pPr>
            <w:r>
              <w:rPr>
                <w:rFonts w:ascii="Arial" w:cs="Arial" w:eastAsia="Arial" w:hAnsi="Arial"/>
                <w:sz w:val="21"/>
                <w:szCs w:val="21"/>
                <w:color w:val="auto"/>
              </w:rPr>
              <w:t>Sal comestível</w:t>
            </w:r>
          </w:p>
        </w:tc>
        <w:tc>
          <w:tcPr>
            <w:tcW w:w="3020" w:type="dxa"/>
            <w:vAlign w:val="bottom"/>
            <w:tcBorders>
              <w:bottom w:val="single" w:sz="8" w:color="auto"/>
              <w:right w:val="single" w:sz="8" w:color="auto"/>
            </w:tcBorders>
          </w:tcPr>
          <w:p>
            <w:pPr>
              <w:ind w:left="80"/>
              <w:spacing w:after="0" w:line="228" w:lineRule="exact"/>
              <w:rPr>
                <w:sz w:val="20"/>
                <w:szCs w:val="20"/>
                <w:color w:val="auto"/>
              </w:rPr>
            </w:pPr>
            <w:r>
              <w:rPr>
                <w:rFonts w:ascii="Arial" w:cs="Arial" w:eastAsia="Arial" w:hAnsi="Arial"/>
                <w:sz w:val="21"/>
                <w:szCs w:val="21"/>
                <w:color w:val="auto"/>
              </w:rPr>
              <w:t>2501</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6"/>
              </w:rPr>
              <w:t>XIII-23</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Pimenta, canela, cravo, baunilha e outras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0904,0905,0906,0907,0908,</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Especiarias incluíndo, os descritos nos códigos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0909,0910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HS: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0904 - Pimenta moída ou não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0905 - Baunilha em líquido ou pó</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0906 - Canela em pó ou não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0907 - Moído de cravo ou não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0908 - Noz-moscada/cardamomo moído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não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0909 - Sementes de anis, coentro e cominho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 0910 - Gengibre, cúrcuma e folhas de louro</w:t>
            </w:r>
          </w:p>
        </w:tc>
        <w:tc>
          <w:tcPr>
            <w:tcW w:w="3020" w:type="dxa"/>
            <w:vAlign w:val="bottom"/>
            <w:tcBorders>
              <w:right w:val="single" w:sz="8" w:color="auto"/>
            </w:tcBorders>
          </w:tcPr>
          <w:p>
            <w:pPr>
              <w:spacing w:after="0"/>
              <w:rPr>
                <w:sz w:val="23"/>
                <w:szCs w:val="23"/>
                <w:color w:val="auto"/>
              </w:rPr>
            </w:pP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55"/>
        </w:trPr>
        <w:tc>
          <w:tcPr>
            <w:tcW w:w="1180" w:type="dxa"/>
            <w:vAlign w:val="bottom"/>
            <w:tcBorders>
              <w:right w:val="single" w:sz="8" w:color="auto"/>
            </w:tcBorders>
          </w:tcPr>
          <w:p>
            <w:pPr>
              <w:spacing w:after="0"/>
              <w:rPr>
                <w:sz w:val="4"/>
                <w:szCs w:val="4"/>
                <w:color w:val="auto"/>
              </w:rPr>
            </w:pPr>
          </w:p>
        </w:tc>
        <w:tc>
          <w:tcPr>
            <w:tcW w:w="1080" w:type="dxa"/>
            <w:vAlign w:val="bottom"/>
            <w:tcBorders>
              <w:right w:val="single" w:sz="8" w:color="auto"/>
            </w:tcBorders>
          </w:tcPr>
          <w:p>
            <w:pPr>
              <w:spacing w:after="0"/>
              <w:rPr>
                <w:sz w:val="4"/>
                <w:szCs w:val="4"/>
                <w:color w:val="auto"/>
              </w:rPr>
            </w:pPr>
          </w:p>
        </w:tc>
        <w:tc>
          <w:tcPr>
            <w:tcW w:w="4560" w:type="dxa"/>
            <w:vAlign w:val="bottom"/>
            <w:tcBorders>
              <w:right w:val="single" w:sz="8" w:color="auto"/>
            </w:tcBorders>
          </w:tcPr>
          <w:p>
            <w:pPr>
              <w:spacing w:after="0"/>
              <w:rPr>
                <w:sz w:val="4"/>
                <w:szCs w:val="4"/>
                <w:color w:val="auto"/>
              </w:rPr>
            </w:pPr>
          </w:p>
        </w:tc>
        <w:tc>
          <w:tcPr>
            <w:tcW w:w="3020" w:type="dxa"/>
            <w:vAlign w:val="bottom"/>
            <w:tcBorders>
              <w:right w:val="single" w:sz="8" w:color="auto"/>
            </w:tcBorders>
          </w:tcPr>
          <w:p>
            <w:pPr>
              <w:spacing w:after="0"/>
              <w:rPr>
                <w:sz w:val="4"/>
                <w:szCs w:val="4"/>
                <w:color w:val="auto"/>
              </w:rPr>
            </w:pPr>
          </w:p>
        </w:tc>
        <w:tc>
          <w:tcPr>
            <w:tcW w:w="680" w:type="dxa"/>
            <w:vAlign w:val="bottom"/>
          </w:tcPr>
          <w:p>
            <w:pPr>
              <w:spacing w:after="0"/>
              <w:rPr>
                <w:sz w:val="4"/>
                <w:szCs w:val="4"/>
                <w:color w:val="auto"/>
              </w:rPr>
            </w:pPr>
          </w:p>
        </w:tc>
        <w:tc>
          <w:tcPr>
            <w:tcW w:w="0" w:type="dxa"/>
            <w:vAlign w:val="bottom"/>
          </w:tcPr>
          <w:p>
            <w:pPr>
              <w:spacing w:after="0"/>
              <w:rPr>
                <w:sz w:val="1"/>
                <w:szCs w:val="1"/>
                <w:color w:val="auto"/>
              </w:rPr>
            </w:pPr>
          </w:p>
        </w:tc>
      </w:tr>
    </w:tbl>
    <w:p>
      <w:pPr>
        <w:sectPr>
          <w:pgSz w:w="11900" w:h="16838" w:orient="portrait"/>
          <w:cols w:equalWidth="0" w:num="1">
            <w:col w:w="10520"/>
          </w:cols>
          <w:pgMar w:left="680" w:top="803" w:right="706" w:bottom="1440" w:gutter="0" w:footer="0" w:header="0"/>
        </w:sectPr>
      </w:pPr>
    </w:p>
    <w:bookmarkStart w:id="24" w:name="page25"/>
    <w:bookmarkEnd w:id="24"/>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260" w:type="dxa"/>
            <w:vAlign w:val="bottom"/>
            <w:gridSpan w:val="3"/>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560" w:type="dxa"/>
            <w:vAlign w:val="bottom"/>
          </w:tcPr>
          <w:p>
            <w:pPr>
              <w:spacing w:after="0"/>
              <w:rPr>
                <w:sz w:val="19"/>
                <w:szCs w:val="19"/>
                <w:color w:val="auto"/>
              </w:rPr>
            </w:pPr>
          </w:p>
        </w:tc>
        <w:tc>
          <w:tcPr>
            <w:tcW w:w="3700" w:type="dxa"/>
            <w:vAlign w:val="bottom"/>
            <w:gridSpan w:val="2"/>
          </w:tcPr>
          <w:p>
            <w:pPr>
              <w:ind w:left="3400"/>
              <w:spacing w:after="0"/>
              <w:rPr>
                <w:sz w:val="20"/>
                <w:szCs w:val="20"/>
                <w:color w:val="auto"/>
              </w:rPr>
            </w:pPr>
            <w:r>
              <w:rPr>
                <w:rFonts w:ascii="Times New Roman" w:cs="Times New Roman" w:eastAsia="Times New Roman" w:hAnsi="Times New Roman"/>
                <w:sz w:val="20"/>
                <w:szCs w:val="20"/>
                <w:color w:val="auto"/>
                <w:w w:val="93"/>
              </w:rPr>
              <w:t>369</w:t>
            </w:r>
          </w:p>
        </w:tc>
        <w:tc>
          <w:tcPr>
            <w:tcW w:w="0" w:type="dxa"/>
            <w:vAlign w:val="bottom"/>
          </w:tcPr>
          <w:p>
            <w:pPr>
              <w:spacing w:after="0"/>
              <w:rPr>
                <w:sz w:val="1"/>
                <w:szCs w:val="1"/>
                <w:color w:val="auto"/>
              </w:rPr>
            </w:pPr>
          </w:p>
        </w:tc>
      </w:tr>
      <w:tr>
        <w:trPr>
          <w:trHeight w:val="40"/>
        </w:trPr>
        <w:tc>
          <w:tcPr>
            <w:tcW w:w="1160" w:type="dxa"/>
            <w:vAlign w:val="bottom"/>
            <w:tcBorders>
              <w:bottom w:val="single" w:sz="8" w:color="auto"/>
            </w:tcBorders>
          </w:tcPr>
          <w:p>
            <w:pPr>
              <w:spacing w:after="0"/>
              <w:rPr>
                <w:sz w:val="3"/>
                <w:szCs w:val="3"/>
                <w:color w:val="auto"/>
              </w:rPr>
            </w:pPr>
          </w:p>
        </w:tc>
        <w:tc>
          <w:tcPr>
            <w:tcW w:w="100" w:type="dxa"/>
            <w:vAlign w:val="bottom"/>
            <w:tcBorders>
              <w:bottom w:val="single" w:sz="8" w:color="auto"/>
            </w:tcBorders>
          </w:tcPr>
          <w:p>
            <w:pPr>
              <w:spacing w:after="0"/>
              <w:rPr>
                <w:sz w:val="3"/>
                <w:szCs w:val="3"/>
                <w:color w:val="auto"/>
              </w:rPr>
            </w:pPr>
          </w:p>
        </w:tc>
        <w:tc>
          <w:tcPr>
            <w:tcW w:w="100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57"/>
        </w:trPr>
        <w:tc>
          <w:tcPr>
            <w:tcW w:w="1160" w:type="dxa"/>
            <w:vAlign w:val="bottom"/>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000" w:type="dxa"/>
            <w:vAlign w:val="bottom"/>
            <w:tcBorders>
              <w:bottom w:val="single" w:sz="8" w:color="auto"/>
            </w:tcBorders>
          </w:tcPr>
          <w:p>
            <w:pPr>
              <w:spacing w:after="0"/>
              <w:rPr>
                <w:sz w:val="22"/>
                <w:szCs w:val="22"/>
                <w:color w:val="auto"/>
              </w:rPr>
            </w:pPr>
          </w:p>
        </w:tc>
        <w:tc>
          <w:tcPr>
            <w:tcW w:w="4560" w:type="dxa"/>
            <w:vAlign w:val="bottom"/>
            <w:tcBorders>
              <w:bottom w:val="single" w:sz="8" w:color="auto"/>
            </w:tcBorders>
          </w:tcPr>
          <w:p>
            <w:pPr>
              <w:spacing w:after="0"/>
              <w:rPr>
                <w:sz w:val="22"/>
                <w:szCs w:val="22"/>
                <w:color w:val="auto"/>
              </w:rPr>
            </w:pPr>
          </w:p>
        </w:tc>
        <w:tc>
          <w:tcPr>
            <w:tcW w:w="3020" w:type="dxa"/>
            <w:vAlign w:val="bottom"/>
            <w:tcBorders>
              <w:bottom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1"/>
        </w:trPr>
        <w:tc>
          <w:tcPr>
            <w:tcW w:w="1160" w:type="dxa"/>
            <w:vAlign w:val="bottom"/>
            <w:tcBorders>
              <w:right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Borders>
              <w:right w:val="single" w:sz="8" w:color="auto"/>
            </w:tcBorders>
            <w:vMerge w:val="restart"/>
          </w:tcPr>
          <w:p>
            <w:pPr>
              <w:jc w:val="center"/>
              <w:ind w:right="17"/>
              <w:spacing w:after="0"/>
              <w:rPr>
                <w:sz w:val="20"/>
                <w:szCs w:val="20"/>
                <w:color w:val="auto"/>
              </w:rPr>
            </w:pPr>
            <w:r>
              <w:rPr>
                <w:rFonts w:ascii="Arial" w:cs="Arial" w:eastAsia="Arial" w:hAnsi="Arial"/>
                <w:sz w:val="21"/>
                <w:szCs w:val="21"/>
                <w:b w:val="1"/>
                <w:bCs w:val="1"/>
                <w:color w:val="auto"/>
                <w:w w:val="88"/>
              </w:rPr>
              <w:t>XIII -24</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Vinagre, molhos, condimentos e temperos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2103, 2209</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60" w:type="dxa"/>
            <w:vAlign w:val="bottom"/>
            <w:tcBorders>
              <w:right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vMerge w:val="continue"/>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mistos e produtos semelhantes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6"/>
        </w:trPr>
        <w:tc>
          <w:tcPr>
            <w:tcW w:w="1160" w:type="dxa"/>
            <w:vAlign w:val="bottom"/>
            <w:tcBorders>
              <w:right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7580" w:type="dxa"/>
            <w:vAlign w:val="bottom"/>
            <w:tcBorders>
              <w:bottom w:val="single" w:sz="8" w:color="auto"/>
              <w:right w:val="single" w:sz="8" w:color="auto"/>
            </w:tcBorders>
            <w:gridSpan w:val="2"/>
          </w:tcPr>
          <w:p>
            <w:pPr>
              <w:jc w:val="center"/>
              <w:ind w:right="997"/>
              <w:spacing w:after="0" w:line="226" w:lineRule="exact"/>
              <w:rPr>
                <w:sz w:val="20"/>
                <w:szCs w:val="20"/>
                <w:color w:val="auto"/>
              </w:rPr>
            </w:pPr>
            <w:r>
              <w:rPr>
                <w:rFonts w:ascii="Arial" w:cs="Arial" w:eastAsia="Arial" w:hAnsi="Arial"/>
                <w:sz w:val="21"/>
                <w:szCs w:val="21"/>
                <w:b w:val="1"/>
                <w:bCs w:val="1"/>
                <w:color w:val="auto"/>
                <w:w w:val="98"/>
              </w:rPr>
              <w:t>Outros produtos preparados ou conservados, pré-embalados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60" w:type="dxa"/>
            <w:vAlign w:val="bottom"/>
            <w:tcBorders>
              <w:right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0" w:type="dxa"/>
            <w:vAlign w:val="bottom"/>
            <w:tcBorders>
              <w:bottom w:val="single" w:sz="8" w:color="auto"/>
              <w:right w:val="single" w:sz="8" w:color="auto"/>
            </w:tcBorders>
          </w:tcPr>
          <w:p>
            <w:pPr>
              <w:jc w:val="center"/>
              <w:ind w:right="17"/>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60" w:type="dxa"/>
            <w:vAlign w:val="bottom"/>
            <w:tcBorders>
              <w:right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Borders>
              <w:right w:val="single" w:sz="8" w:color="auto"/>
            </w:tcBorders>
          </w:tcPr>
          <w:p>
            <w:pPr>
              <w:jc w:val="center"/>
              <w:ind w:right="17"/>
              <w:spacing w:after="0" w:line="208" w:lineRule="exact"/>
              <w:rPr>
                <w:sz w:val="20"/>
                <w:szCs w:val="20"/>
                <w:color w:val="auto"/>
              </w:rPr>
            </w:pPr>
            <w:r>
              <w:rPr>
                <w:rFonts w:ascii="Arial" w:cs="Arial" w:eastAsia="Arial" w:hAnsi="Arial"/>
                <w:sz w:val="21"/>
                <w:szCs w:val="21"/>
                <w:b w:val="1"/>
                <w:bCs w:val="1"/>
                <w:color w:val="auto"/>
                <w:w w:val="96"/>
              </w:rPr>
              <w:t>XIII-25</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Bolo, pão, biscoitos, invólucro de arroz</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1905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produtos similares incluindo, invólucro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60" w:type="dxa"/>
            <w:vAlign w:val="bottom"/>
            <w:tcBorders>
              <w:right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de rolinho primavera</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4"/>
        </w:trPr>
        <w:tc>
          <w:tcPr>
            <w:tcW w:w="1160" w:type="dxa"/>
            <w:vAlign w:val="bottom"/>
            <w:tcBorders>
              <w:right w:val="single" w:sz="8" w:color="auto"/>
            </w:tcBorders>
          </w:tcPr>
          <w:p>
            <w:pPr>
              <w:spacing w:after="0"/>
              <w:rPr>
                <w:sz w:val="23"/>
                <w:szCs w:val="23"/>
                <w:color w:val="auto"/>
              </w:rPr>
            </w:pPr>
          </w:p>
        </w:tc>
        <w:tc>
          <w:tcPr>
            <w:tcW w:w="100" w:type="dxa"/>
            <w:vAlign w:val="bottom"/>
          </w:tcPr>
          <w:p>
            <w:pPr>
              <w:spacing w:after="0"/>
              <w:rPr>
                <w:sz w:val="23"/>
                <w:szCs w:val="23"/>
                <w:color w:val="auto"/>
              </w:rPr>
            </w:pPr>
          </w:p>
        </w:tc>
        <w:tc>
          <w:tcPr>
            <w:tcW w:w="1000" w:type="dxa"/>
            <w:vAlign w:val="bottom"/>
            <w:tcBorders>
              <w:right w:val="single" w:sz="8" w:color="auto"/>
            </w:tcBorders>
          </w:tcPr>
          <w:p>
            <w:pPr>
              <w:jc w:val="center"/>
              <w:ind w:right="17"/>
              <w:spacing w:after="0"/>
              <w:rPr>
                <w:sz w:val="20"/>
                <w:szCs w:val="20"/>
                <w:color w:val="auto"/>
              </w:rPr>
            </w:pPr>
            <w:r>
              <w:rPr>
                <w:rFonts w:ascii="Arial" w:cs="Arial" w:eastAsia="Arial" w:hAnsi="Arial"/>
                <w:sz w:val="21"/>
                <w:szCs w:val="21"/>
                <w:b w:val="1"/>
                <w:bCs w:val="1"/>
                <w:color w:val="auto"/>
                <w:w w:val="96"/>
              </w:rPr>
              <w:t>XIII-26</w:t>
            </w: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Chá, café e produtos relacionados</w:t>
            </w:r>
          </w:p>
        </w:tc>
        <w:tc>
          <w:tcPr>
            <w:tcW w:w="302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0901, 0902, 2101</w:t>
            </w: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92"/>
        </w:trPr>
        <w:tc>
          <w:tcPr>
            <w:tcW w:w="1160" w:type="dxa"/>
            <w:vAlign w:val="bottom"/>
            <w:tcBorders>
              <w:right w:val="single" w:sz="8" w:color="auto"/>
            </w:tcBorders>
          </w:tcPr>
          <w:p>
            <w:pPr>
              <w:spacing w:after="0"/>
              <w:rPr>
                <w:sz w:val="16"/>
                <w:szCs w:val="16"/>
                <w:color w:val="auto"/>
              </w:rPr>
            </w:pPr>
          </w:p>
        </w:tc>
        <w:tc>
          <w:tcPr>
            <w:tcW w:w="100" w:type="dxa"/>
            <w:vAlign w:val="bottom"/>
            <w:tcBorders>
              <w:bottom w:val="single" w:sz="8" w:color="auto"/>
            </w:tcBorders>
          </w:tcPr>
          <w:p>
            <w:pPr>
              <w:spacing w:after="0"/>
              <w:rPr>
                <w:sz w:val="16"/>
                <w:szCs w:val="16"/>
                <w:color w:val="auto"/>
              </w:rPr>
            </w:pPr>
          </w:p>
        </w:tc>
        <w:tc>
          <w:tcPr>
            <w:tcW w:w="1000" w:type="dxa"/>
            <w:vAlign w:val="bottom"/>
            <w:tcBorders>
              <w:bottom w:val="single" w:sz="8" w:color="auto"/>
              <w:right w:val="single" w:sz="8" w:color="auto"/>
            </w:tcBorders>
          </w:tcPr>
          <w:p>
            <w:pPr>
              <w:spacing w:after="0"/>
              <w:rPr>
                <w:sz w:val="16"/>
                <w:szCs w:val="16"/>
                <w:color w:val="auto"/>
              </w:rPr>
            </w:pPr>
          </w:p>
        </w:tc>
        <w:tc>
          <w:tcPr>
            <w:tcW w:w="4560" w:type="dxa"/>
            <w:vAlign w:val="bottom"/>
            <w:tcBorders>
              <w:bottom w:val="single" w:sz="8" w:color="auto"/>
              <w:right w:val="single" w:sz="8" w:color="auto"/>
            </w:tcBorders>
          </w:tcPr>
          <w:p>
            <w:pPr>
              <w:spacing w:after="0"/>
              <w:rPr>
                <w:sz w:val="16"/>
                <w:szCs w:val="16"/>
                <w:color w:val="auto"/>
              </w:rPr>
            </w:pPr>
          </w:p>
        </w:tc>
        <w:tc>
          <w:tcPr>
            <w:tcW w:w="3020" w:type="dxa"/>
            <w:vAlign w:val="bottom"/>
            <w:tcBorders>
              <w:bottom w:val="single" w:sz="8" w:color="auto"/>
              <w:right w:val="single" w:sz="8" w:color="auto"/>
            </w:tcBorders>
          </w:tcPr>
          <w:p>
            <w:pPr>
              <w:spacing w:after="0"/>
              <w:rPr>
                <w:sz w:val="16"/>
                <w:szCs w:val="16"/>
                <w:color w:val="auto"/>
              </w:rPr>
            </w:pPr>
          </w:p>
        </w:tc>
        <w:tc>
          <w:tcPr>
            <w:tcW w:w="6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8"/>
        </w:trPr>
        <w:tc>
          <w:tcPr>
            <w:tcW w:w="1160" w:type="dxa"/>
            <w:vAlign w:val="bottom"/>
            <w:tcBorders>
              <w:right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Borders>
              <w:right w:val="single" w:sz="8" w:color="auto"/>
            </w:tcBorders>
          </w:tcPr>
          <w:p>
            <w:pPr>
              <w:jc w:val="center"/>
              <w:ind w:right="17"/>
              <w:spacing w:after="0" w:line="208" w:lineRule="exact"/>
              <w:rPr>
                <w:sz w:val="20"/>
                <w:szCs w:val="20"/>
                <w:color w:val="auto"/>
              </w:rPr>
            </w:pPr>
            <w:r>
              <w:rPr>
                <w:rFonts w:ascii="Arial" w:cs="Arial" w:eastAsia="Arial" w:hAnsi="Arial"/>
                <w:sz w:val="21"/>
                <w:szCs w:val="21"/>
                <w:b w:val="1"/>
                <w:bCs w:val="1"/>
                <w:color w:val="auto"/>
                <w:w w:val="96"/>
              </w:rPr>
              <w:t>XIII-27</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Produtos de confeitaria de açúcar incluindo, 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1704</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descritos no código HS 1704: Confeitaria,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chocolate branco, sem cacau (por</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exemplo, gomas de mascar contendo açúcar,</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caramelos, doces, nogado, fundentes,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60" w:type="dxa"/>
            <w:vAlign w:val="bottom"/>
            <w:tcBorders>
              <w:right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maçapão, geleias de frutas e pastas de frutas)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60" w:type="dxa"/>
            <w:vAlign w:val="bottom"/>
            <w:tcBorders>
              <w:right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Borders>
              <w:right w:val="single" w:sz="8" w:color="auto"/>
            </w:tcBorders>
          </w:tcPr>
          <w:p>
            <w:pPr>
              <w:jc w:val="center"/>
              <w:ind w:right="17"/>
              <w:spacing w:after="0" w:line="208" w:lineRule="exact"/>
              <w:rPr>
                <w:sz w:val="20"/>
                <w:szCs w:val="20"/>
                <w:color w:val="auto"/>
              </w:rPr>
            </w:pPr>
            <w:r>
              <w:rPr>
                <w:rFonts w:ascii="Arial" w:cs="Arial" w:eastAsia="Arial" w:hAnsi="Arial"/>
                <w:sz w:val="21"/>
                <w:szCs w:val="21"/>
                <w:b w:val="1"/>
                <w:bCs w:val="1"/>
                <w:color w:val="auto"/>
                <w:w w:val="96"/>
              </w:rPr>
              <w:t>XIII-28</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Chocolate, pasta de cacau e outras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1803, 1804, 1805, 1800</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preparações alimentícias contendo cacau</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os descritos nos códigos HS: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1803 - Pasta de cacau em tabletes, grumos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blocos de forma.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1804 - Manteiga, gordura e óleo de cacau</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1805 - Cacau em pó, não contendo açúcar</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adicionado ou outro adoçante.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1806 - Chocolate e outros alimentos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preparações contendo cacau (por exemplo,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60" w:type="dxa"/>
            <w:vAlign w:val="bottom"/>
            <w:tcBorders>
              <w:right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cacau em pó adoçado, chocolate em pó, etc.)</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9"/>
        </w:trPr>
        <w:tc>
          <w:tcPr>
            <w:tcW w:w="1160" w:type="dxa"/>
            <w:vAlign w:val="bottom"/>
            <w:tcBorders>
              <w:right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Borders>
              <w:right w:val="single" w:sz="8" w:color="auto"/>
            </w:tcBorders>
          </w:tcPr>
          <w:p>
            <w:pPr>
              <w:jc w:val="center"/>
              <w:ind w:right="17"/>
              <w:spacing w:after="0" w:line="209" w:lineRule="exact"/>
              <w:rPr>
                <w:sz w:val="20"/>
                <w:szCs w:val="20"/>
                <w:color w:val="auto"/>
              </w:rPr>
            </w:pPr>
            <w:r>
              <w:rPr>
                <w:rFonts w:ascii="Arial" w:cs="Arial" w:eastAsia="Arial" w:hAnsi="Arial"/>
                <w:sz w:val="21"/>
                <w:szCs w:val="21"/>
                <w:b w:val="1"/>
                <w:bCs w:val="1"/>
                <w:color w:val="auto"/>
                <w:w w:val="96"/>
              </w:rPr>
              <w:t>XIII-29</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Sopas, caldos, alimentos compostos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2104</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60" w:type="dxa"/>
            <w:vAlign w:val="bottom"/>
            <w:tcBorders>
              <w:right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homogeneizados e suas preparações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60" w:type="dxa"/>
            <w:vAlign w:val="bottom"/>
            <w:tcBorders>
              <w:right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Borders>
              <w:right w:val="single" w:sz="8" w:color="auto"/>
            </w:tcBorders>
          </w:tcPr>
          <w:p>
            <w:pPr>
              <w:jc w:val="center"/>
              <w:ind w:right="17"/>
              <w:spacing w:after="0" w:line="208" w:lineRule="exact"/>
              <w:rPr>
                <w:sz w:val="20"/>
                <w:szCs w:val="20"/>
                <w:color w:val="auto"/>
              </w:rPr>
            </w:pPr>
            <w:r>
              <w:rPr>
                <w:rFonts w:ascii="Arial" w:cs="Arial" w:eastAsia="Arial" w:hAnsi="Arial"/>
                <w:sz w:val="21"/>
                <w:szCs w:val="21"/>
                <w:b w:val="1"/>
                <w:bCs w:val="1"/>
                <w:color w:val="auto"/>
                <w:w w:val="96"/>
              </w:rPr>
              <w:t>XIII-30</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Aditivos alimentares, refrigerantes em pó,</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2106</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6"/>
        </w:trPr>
        <w:tc>
          <w:tcPr>
            <w:tcW w:w="1160" w:type="dxa"/>
            <w:vAlign w:val="bottom"/>
            <w:tcBorders>
              <w:right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creme para café e produtos semelhantes</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6"/>
        </w:trPr>
        <w:tc>
          <w:tcPr>
            <w:tcW w:w="1160" w:type="dxa"/>
            <w:vAlign w:val="bottom"/>
            <w:tcBorders>
              <w:right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0" w:type="dxa"/>
            <w:vAlign w:val="bottom"/>
            <w:tcBorders>
              <w:bottom w:val="single" w:sz="8" w:color="auto"/>
              <w:right w:val="single" w:sz="8" w:color="auto"/>
            </w:tcBorders>
          </w:tcPr>
          <w:p>
            <w:pPr>
              <w:jc w:val="center"/>
              <w:ind w:right="17"/>
              <w:spacing w:after="0" w:line="226" w:lineRule="exact"/>
              <w:rPr>
                <w:sz w:val="20"/>
                <w:szCs w:val="20"/>
                <w:color w:val="auto"/>
              </w:rPr>
            </w:pPr>
            <w:r>
              <w:rPr>
                <w:rFonts w:ascii="Arial" w:cs="Arial" w:eastAsia="Arial" w:hAnsi="Arial"/>
                <w:sz w:val="21"/>
                <w:szCs w:val="21"/>
                <w:b w:val="1"/>
                <w:bCs w:val="1"/>
                <w:color w:val="auto"/>
                <w:w w:val="96"/>
              </w:rPr>
              <w:t>XIII-31</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Fermento e fermento em pó</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2102.10, 2102.20, 2102.30</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60" w:type="dxa"/>
            <w:vAlign w:val="bottom"/>
            <w:tcBorders>
              <w:right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7580" w:type="dxa"/>
            <w:vAlign w:val="bottom"/>
            <w:tcBorders>
              <w:bottom w:val="single" w:sz="8" w:color="auto"/>
              <w:right w:val="single" w:sz="8" w:color="auto"/>
            </w:tcBorders>
            <w:gridSpan w:val="2"/>
          </w:tcPr>
          <w:p>
            <w:pPr>
              <w:jc w:val="center"/>
              <w:ind w:right="997"/>
              <w:spacing w:after="0" w:line="226" w:lineRule="exact"/>
              <w:rPr>
                <w:sz w:val="20"/>
                <w:szCs w:val="20"/>
                <w:color w:val="auto"/>
              </w:rPr>
            </w:pPr>
            <w:r>
              <w:rPr>
                <w:rFonts w:ascii="Arial" w:cs="Arial" w:eastAsia="Arial" w:hAnsi="Arial"/>
                <w:sz w:val="21"/>
                <w:szCs w:val="21"/>
                <w:b w:val="1"/>
                <w:bCs w:val="1"/>
                <w:color w:val="auto"/>
                <w:w w:val="98"/>
              </w:rPr>
              <w:t>Produtos de alimentação animal</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8"/>
        </w:trPr>
        <w:tc>
          <w:tcPr>
            <w:tcW w:w="1160" w:type="dxa"/>
            <w:vAlign w:val="bottom"/>
            <w:tcBorders>
              <w:right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0" w:type="dxa"/>
            <w:vAlign w:val="bottom"/>
            <w:tcBorders>
              <w:bottom w:val="single" w:sz="8" w:color="auto"/>
              <w:right w:val="single" w:sz="8" w:color="auto"/>
            </w:tcBorders>
          </w:tcPr>
          <w:p>
            <w:pPr>
              <w:jc w:val="center"/>
              <w:ind w:right="17"/>
              <w:spacing w:after="0" w:line="228"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8"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8"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6"/>
        </w:trPr>
        <w:tc>
          <w:tcPr>
            <w:tcW w:w="1160" w:type="dxa"/>
            <w:vAlign w:val="bottom"/>
            <w:tcBorders>
              <w:right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0" w:type="dxa"/>
            <w:vAlign w:val="bottom"/>
            <w:tcBorders>
              <w:bottom w:val="single" w:sz="8" w:color="auto"/>
              <w:right w:val="single" w:sz="8" w:color="auto"/>
            </w:tcBorders>
          </w:tcPr>
          <w:p>
            <w:pPr>
              <w:jc w:val="center"/>
              <w:ind w:right="17"/>
              <w:spacing w:after="0" w:line="226" w:lineRule="exact"/>
              <w:rPr>
                <w:sz w:val="20"/>
                <w:szCs w:val="20"/>
                <w:color w:val="auto"/>
              </w:rPr>
            </w:pPr>
            <w:r>
              <w:rPr>
                <w:rFonts w:ascii="Arial" w:cs="Arial" w:eastAsia="Arial" w:hAnsi="Arial"/>
                <w:sz w:val="21"/>
                <w:szCs w:val="21"/>
                <w:b w:val="1"/>
                <w:bCs w:val="1"/>
                <w:color w:val="auto"/>
                <w:w w:val="96"/>
              </w:rPr>
              <w:t>XIII-32</w:t>
            </w:r>
          </w:p>
        </w:tc>
        <w:tc>
          <w:tcPr>
            <w:tcW w:w="456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Alimentação animal</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2309</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75"/>
        </w:trPr>
        <w:tc>
          <w:tcPr>
            <w:tcW w:w="1160" w:type="dxa"/>
            <w:vAlign w:val="bottom"/>
            <w:tcBorders>
              <w:right w:val="single" w:sz="8" w:color="auto"/>
            </w:tcBorders>
          </w:tcPr>
          <w:p>
            <w:pPr>
              <w:spacing w:after="0"/>
              <w:rPr>
                <w:sz w:val="23"/>
                <w:szCs w:val="23"/>
                <w:color w:val="auto"/>
              </w:rPr>
            </w:pPr>
          </w:p>
        </w:tc>
        <w:tc>
          <w:tcPr>
            <w:tcW w:w="100" w:type="dxa"/>
            <w:vAlign w:val="bottom"/>
            <w:shd w:val="clear" w:color="auto" w:fill="D9D9D9"/>
          </w:tcPr>
          <w:p>
            <w:pPr>
              <w:spacing w:after="0"/>
              <w:rPr>
                <w:sz w:val="23"/>
                <w:szCs w:val="23"/>
                <w:color w:val="auto"/>
              </w:rPr>
            </w:pPr>
          </w:p>
        </w:tc>
        <w:tc>
          <w:tcPr>
            <w:tcW w:w="8580" w:type="dxa"/>
            <w:vAlign w:val="bottom"/>
            <w:tcBorders>
              <w:right w:val="single" w:sz="8" w:color="auto"/>
            </w:tcBorders>
            <w:gridSpan w:val="3"/>
            <w:shd w:val="clear" w:color="auto" w:fill="D9D9D9"/>
          </w:tcPr>
          <w:p>
            <w:pPr>
              <w:jc w:val="center"/>
              <w:ind w:right="17"/>
              <w:spacing w:after="0"/>
              <w:rPr>
                <w:sz w:val="20"/>
                <w:szCs w:val="20"/>
                <w:color w:val="auto"/>
              </w:rPr>
            </w:pPr>
            <w:r>
              <w:rPr>
                <w:rFonts w:ascii="Arial" w:cs="Arial" w:eastAsia="Arial" w:hAnsi="Arial"/>
                <w:sz w:val="21"/>
                <w:szCs w:val="21"/>
                <w:b w:val="1"/>
                <w:bCs w:val="1"/>
                <w:color w:val="auto"/>
                <w:w w:val="98"/>
              </w:rPr>
              <w:t>Grupo XIX– Dispositivos de medição (mecânicos / elétricos / não elétricos)</w:t>
            </w: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69"/>
        </w:trPr>
        <w:tc>
          <w:tcPr>
            <w:tcW w:w="1160" w:type="dxa"/>
            <w:vAlign w:val="bottom"/>
            <w:tcBorders>
              <w:right w:val="single" w:sz="8" w:color="auto"/>
            </w:tcBorders>
          </w:tcPr>
          <w:p>
            <w:pPr>
              <w:spacing w:after="0"/>
              <w:rPr>
                <w:sz w:val="6"/>
                <w:szCs w:val="6"/>
                <w:color w:val="auto"/>
              </w:rPr>
            </w:pPr>
          </w:p>
        </w:tc>
        <w:tc>
          <w:tcPr>
            <w:tcW w:w="100" w:type="dxa"/>
            <w:vAlign w:val="bottom"/>
            <w:tcBorders>
              <w:bottom w:val="single" w:sz="8" w:color="auto"/>
            </w:tcBorders>
            <w:shd w:val="clear" w:color="auto" w:fill="D9D9D9"/>
          </w:tcPr>
          <w:p>
            <w:pPr>
              <w:spacing w:after="0"/>
              <w:rPr>
                <w:sz w:val="6"/>
                <w:szCs w:val="6"/>
                <w:color w:val="auto"/>
              </w:rPr>
            </w:pPr>
          </w:p>
        </w:tc>
        <w:tc>
          <w:tcPr>
            <w:tcW w:w="1000" w:type="dxa"/>
            <w:vAlign w:val="bottom"/>
            <w:tcBorders>
              <w:bottom w:val="single" w:sz="8" w:color="auto"/>
              <w:right w:val="single" w:sz="8" w:color="D9D9D9"/>
            </w:tcBorders>
            <w:shd w:val="clear" w:color="auto" w:fill="D9D9D9"/>
          </w:tcPr>
          <w:p>
            <w:pPr>
              <w:spacing w:after="0"/>
              <w:rPr>
                <w:sz w:val="6"/>
                <w:szCs w:val="6"/>
                <w:color w:val="auto"/>
              </w:rPr>
            </w:pPr>
          </w:p>
        </w:tc>
        <w:tc>
          <w:tcPr>
            <w:tcW w:w="4560" w:type="dxa"/>
            <w:vAlign w:val="bottom"/>
            <w:tcBorders>
              <w:bottom w:val="single" w:sz="8" w:color="auto"/>
              <w:right w:val="single" w:sz="8" w:color="D9D9D9"/>
            </w:tcBorders>
            <w:shd w:val="clear" w:color="auto" w:fill="D9D9D9"/>
          </w:tcPr>
          <w:p>
            <w:pPr>
              <w:spacing w:after="0"/>
              <w:rPr>
                <w:sz w:val="6"/>
                <w:szCs w:val="6"/>
                <w:color w:val="auto"/>
              </w:rPr>
            </w:pPr>
          </w:p>
        </w:tc>
        <w:tc>
          <w:tcPr>
            <w:tcW w:w="3020" w:type="dxa"/>
            <w:vAlign w:val="bottom"/>
            <w:tcBorders>
              <w:bottom w:val="single" w:sz="8" w:color="auto"/>
              <w:right w:val="single" w:sz="8" w:color="auto"/>
            </w:tcBorders>
            <w:shd w:val="clear" w:color="auto" w:fill="D9D9D9"/>
          </w:tcPr>
          <w:p>
            <w:pPr>
              <w:spacing w:after="0"/>
              <w:rPr>
                <w:sz w:val="6"/>
                <w:szCs w:val="6"/>
                <w:color w:val="auto"/>
              </w:rPr>
            </w:pPr>
          </w:p>
        </w:tc>
        <w:tc>
          <w:tcPr>
            <w:tcW w:w="6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26"/>
        </w:trPr>
        <w:tc>
          <w:tcPr>
            <w:tcW w:w="1160" w:type="dxa"/>
            <w:vAlign w:val="bottom"/>
            <w:tcBorders>
              <w:right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0" w:type="dxa"/>
            <w:vAlign w:val="bottom"/>
            <w:tcBorders>
              <w:bottom w:val="single" w:sz="8" w:color="auto"/>
              <w:right w:val="single" w:sz="8" w:color="auto"/>
            </w:tcBorders>
          </w:tcPr>
          <w:p>
            <w:pPr>
              <w:jc w:val="center"/>
              <w:ind w:right="17"/>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160" w:type="dxa"/>
            <w:vAlign w:val="bottom"/>
            <w:tcBorders>
              <w:right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Borders>
              <w:right w:val="single" w:sz="8" w:color="auto"/>
            </w:tcBorders>
          </w:tcPr>
          <w:p>
            <w:pPr>
              <w:jc w:val="center"/>
              <w:ind w:right="17"/>
              <w:spacing w:after="0" w:line="211" w:lineRule="exact"/>
              <w:rPr>
                <w:sz w:val="20"/>
                <w:szCs w:val="20"/>
                <w:color w:val="auto"/>
              </w:rPr>
            </w:pPr>
            <w:r>
              <w:rPr>
                <w:rFonts w:ascii="Arial" w:cs="Arial" w:eastAsia="Arial" w:hAnsi="Arial"/>
                <w:sz w:val="21"/>
                <w:szCs w:val="21"/>
                <w:b w:val="1"/>
                <w:bCs w:val="1"/>
                <w:color w:val="auto"/>
                <w:w w:val="99"/>
              </w:rPr>
              <w:t>XIX-01</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Balanças e equipamentos de pesagem</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8423.10,8423.20,8423.30,</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peças e acessórios.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8423.81,8423.82,8423.89,</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60" w:type="dxa"/>
            <w:vAlign w:val="bottom"/>
            <w:tcBorders>
              <w:right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8423.90,9016</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60" w:type="dxa"/>
            <w:vAlign w:val="bottom"/>
            <w:tcBorders>
              <w:right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Borders>
              <w:right w:val="single" w:sz="8" w:color="auto"/>
            </w:tcBorders>
          </w:tcPr>
          <w:p>
            <w:pPr>
              <w:jc w:val="center"/>
              <w:ind w:right="17"/>
              <w:spacing w:after="0" w:line="208" w:lineRule="exact"/>
              <w:rPr>
                <w:sz w:val="20"/>
                <w:szCs w:val="20"/>
                <w:color w:val="auto"/>
              </w:rPr>
            </w:pPr>
            <w:r>
              <w:rPr>
                <w:rFonts w:ascii="Arial" w:cs="Arial" w:eastAsia="Arial" w:hAnsi="Arial"/>
                <w:sz w:val="21"/>
                <w:szCs w:val="21"/>
                <w:b w:val="1"/>
                <w:bCs w:val="1"/>
                <w:color w:val="auto"/>
                <w:w w:val="97"/>
              </w:rPr>
              <w:t>XIX -02</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Bússolas de localização de direção,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9014.10,9014.20,9014.80,</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instrumentos de navegação, topografia</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9014.90, 9015.10,9015.20,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similares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9015.30,9015.40,9015.80,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60" w:type="dxa"/>
            <w:vAlign w:val="bottom"/>
            <w:tcBorders>
              <w:right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00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9015.90</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60" w:type="dxa"/>
            <w:vAlign w:val="bottom"/>
            <w:tcBorders>
              <w:right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Borders>
              <w:right w:val="single" w:sz="8" w:color="auto"/>
            </w:tcBorders>
          </w:tcPr>
          <w:p>
            <w:pPr>
              <w:jc w:val="center"/>
              <w:ind w:right="17"/>
              <w:spacing w:after="0" w:line="208" w:lineRule="exact"/>
              <w:rPr>
                <w:sz w:val="20"/>
                <w:szCs w:val="20"/>
                <w:color w:val="auto"/>
              </w:rPr>
            </w:pPr>
            <w:r>
              <w:rPr>
                <w:rFonts w:ascii="Arial" w:cs="Arial" w:eastAsia="Arial" w:hAnsi="Arial"/>
                <w:sz w:val="21"/>
                <w:szCs w:val="21"/>
                <w:b w:val="1"/>
                <w:bCs w:val="1"/>
                <w:color w:val="auto"/>
                <w:w w:val="97"/>
              </w:rPr>
              <w:t>XIX -03</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Fitas de medição, micrômetros, compassos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9017.20,9017.30,9017.80,</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60" w:type="dxa"/>
            <w:vAlign w:val="bottom"/>
            <w:tcBorders>
              <w:right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1" w:lineRule="exact"/>
              <w:rPr>
                <w:sz w:val="20"/>
                <w:szCs w:val="20"/>
                <w:color w:val="auto"/>
              </w:rPr>
            </w:pPr>
            <w:r>
              <w:rPr>
                <w:rFonts w:ascii="Arial" w:cs="Arial" w:eastAsia="Arial" w:hAnsi="Arial"/>
                <w:sz w:val="21"/>
                <w:szCs w:val="21"/>
                <w:color w:val="auto"/>
              </w:rPr>
              <w:t>de calibre, máquinas de dureza e produtos</w:t>
            </w:r>
          </w:p>
        </w:tc>
        <w:tc>
          <w:tcPr>
            <w:tcW w:w="3020" w:type="dxa"/>
            <w:vAlign w:val="bottom"/>
            <w:tcBorders>
              <w:right w:val="single" w:sz="8" w:color="auto"/>
            </w:tcBorders>
          </w:tcPr>
          <w:p>
            <w:pPr>
              <w:ind w:left="80"/>
              <w:spacing w:after="0" w:line="231" w:lineRule="exact"/>
              <w:rPr>
                <w:sz w:val="20"/>
                <w:szCs w:val="20"/>
                <w:color w:val="auto"/>
              </w:rPr>
            </w:pPr>
            <w:r>
              <w:rPr>
                <w:rFonts w:ascii="Arial" w:cs="Arial" w:eastAsia="Arial" w:hAnsi="Arial"/>
                <w:sz w:val="21"/>
                <w:szCs w:val="21"/>
                <w:color w:val="auto"/>
              </w:rPr>
              <w:t>9017.90,9024.10,9024.80,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-431165</wp:posOffset>
            </wp:positionH>
            <wp:positionV relativeFrom="paragraph">
              <wp:posOffset>2879725</wp:posOffset>
            </wp:positionV>
            <wp:extent cx="4763" cy="4763"/>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extLst>
                        <a:ext uri="{28A0092B-C50C-407E-A947-70E740481C1C}"/>
                      </a:extLst>
                    </a:blip>
                    <a:srcRect/>
                    <a:stretch>
                      <a:fillRect/>
                    </a:stretch>
                  </pic:blipFill>
                  <pic:spPr bwMode="auto">
                    <a:xfrm>
                      <a:off x="0" y="0"/>
                      <a:ext cx="4763" cy="4763"/>
                    </a:xfrm>
                    <a:prstGeom prst="rect">
                      <a:avLst/>
                    </a:prstGeom>
                    <a:noFill/>
                  </pic:spPr>
                </pic:pic>
              </a:graphicData>
            </a:graphic>
          </wp:anchor>
        </w:drawing>
      </w:r>
    </w:p>
    <w:p>
      <w:pPr>
        <w:sectPr>
          <w:pgSz w:w="11900" w:h="16838" w:orient="portrait"/>
          <w:cols w:equalWidth="0" w:num="1">
            <w:col w:w="10520"/>
          </w:cols>
          <w:pgMar w:left="680" w:top="803" w:right="706" w:bottom="1440" w:gutter="0" w:footer="0" w:header="0"/>
        </w:sectPr>
      </w:pPr>
    </w:p>
    <w:bookmarkStart w:id="25" w:name="page26"/>
    <w:bookmarkEnd w:id="25"/>
    <w:tbl>
      <w:tblPr>
        <w:tblLayout w:type="fixed"/>
        <w:tblInd w:w="0" w:type="dxa"/>
        <w:tblCellMar>
          <w:top w:w="0" w:type="dxa"/>
          <w:left w:w="0" w:type="dxa"/>
          <w:bottom w:w="0" w:type="dxa"/>
          <w:right w:w="0" w:type="dxa"/>
        </w:tblCellMar>
      </w:tblPr>
      <w:tr>
        <w:trPr>
          <w:trHeight w:val="241"/>
        </w:trPr>
        <w:tc>
          <w:tcPr>
            <w:tcW w:w="1180" w:type="dxa"/>
            <w:vAlign w:val="bottom"/>
          </w:tcPr>
          <w:p>
            <w:pPr>
              <w:jc w:val="right"/>
              <w:ind w:right="780"/>
              <w:spacing w:after="0"/>
              <w:rPr>
                <w:sz w:val="20"/>
                <w:szCs w:val="20"/>
                <w:color w:val="auto"/>
              </w:rPr>
            </w:pPr>
            <w:r>
              <w:rPr>
                <w:rFonts w:ascii="Times New Roman" w:cs="Times New Roman" w:eastAsia="Times New Roman" w:hAnsi="Times New Roman"/>
                <w:sz w:val="20"/>
                <w:szCs w:val="20"/>
                <w:color w:val="auto"/>
                <w:w w:val="93"/>
              </w:rPr>
              <w:t>370</w:t>
            </w:r>
          </w:p>
        </w:tc>
        <w:tc>
          <w:tcPr>
            <w:tcW w:w="8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540" w:type="dxa"/>
            <w:vAlign w:val="bottom"/>
          </w:tcPr>
          <w:p>
            <w:pPr>
              <w:spacing w:after="0"/>
              <w:rPr>
                <w:sz w:val="20"/>
                <w:szCs w:val="20"/>
                <w:color w:val="auto"/>
              </w:rPr>
            </w:pPr>
          </w:p>
        </w:tc>
        <w:tc>
          <w:tcPr>
            <w:tcW w:w="3700" w:type="dxa"/>
            <w:vAlign w:val="bottom"/>
            <w:gridSpan w:val="2"/>
          </w:tcPr>
          <w:p>
            <w:pPr>
              <w:ind w:left="1640"/>
              <w:spacing w:after="0"/>
              <w:rPr>
                <w:sz w:val="20"/>
                <w:szCs w:val="20"/>
                <w:color w:val="auto"/>
              </w:rPr>
            </w:pPr>
            <w:r>
              <w:rPr>
                <w:rFonts w:ascii="Times New Roman" w:cs="Times New Roman" w:eastAsia="Times New Roman" w:hAnsi="Times New Roman"/>
                <w:sz w:val="20"/>
                <w:szCs w:val="20"/>
                <w:i w:val="1"/>
                <w:iCs w:val="1"/>
                <w:color w:val="auto"/>
              </w:rPr>
              <w:t>I SÉRIE — NÚMERO 50</w:t>
            </w:r>
          </w:p>
        </w:tc>
        <w:tc>
          <w:tcPr>
            <w:tcW w:w="0" w:type="dxa"/>
            <w:vAlign w:val="bottom"/>
          </w:tcPr>
          <w:p>
            <w:pPr>
              <w:spacing w:after="0"/>
              <w:rPr>
                <w:sz w:val="1"/>
                <w:szCs w:val="1"/>
                <w:color w:val="auto"/>
              </w:rPr>
            </w:pPr>
          </w:p>
        </w:tc>
      </w:tr>
      <w:tr>
        <w:trPr>
          <w:trHeight w:val="40"/>
        </w:trPr>
        <w:tc>
          <w:tcPr>
            <w:tcW w:w="118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1020" w:type="dxa"/>
            <w:vAlign w:val="bottom"/>
            <w:tcBorders>
              <w:bottom w:val="single" w:sz="8" w:color="auto"/>
            </w:tcBorders>
          </w:tcPr>
          <w:p>
            <w:pPr>
              <w:spacing w:after="0"/>
              <w:rPr>
                <w:sz w:val="3"/>
                <w:szCs w:val="3"/>
                <w:color w:val="auto"/>
              </w:rPr>
            </w:pPr>
          </w:p>
        </w:tc>
        <w:tc>
          <w:tcPr>
            <w:tcW w:w="454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46"/>
        </w:trPr>
        <w:tc>
          <w:tcPr>
            <w:tcW w:w="1180" w:type="dxa"/>
            <w:vAlign w:val="bottom"/>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1020" w:type="dxa"/>
            <w:vAlign w:val="bottom"/>
            <w:tcBorders>
              <w:bottom w:val="single" w:sz="8" w:color="auto"/>
            </w:tcBorders>
          </w:tcPr>
          <w:p>
            <w:pPr>
              <w:spacing w:after="0"/>
              <w:rPr>
                <w:sz w:val="21"/>
                <w:szCs w:val="21"/>
                <w:color w:val="auto"/>
              </w:rPr>
            </w:pPr>
          </w:p>
        </w:tc>
        <w:tc>
          <w:tcPr>
            <w:tcW w:w="4540" w:type="dxa"/>
            <w:vAlign w:val="bottom"/>
            <w:tcBorders>
              <w:bottom w:val="single" w:sz="8" w:color="auto"/>
            </w:tcBorders>
          </w:tcPr>
          <w:p>
            <w:pPr>
              <w:spacing w:after="0"/>
              <w:rPr>
                <w:sz w:val="21"/>
                <w:szCs w:val="21"/>
                <w:color w:val="auto"/>
              </w:rPr>
            </w:pPr>
          </w:p>
        </w:tc>
        <w:tc>
          <w:tcPr>
            <w:tcW w:w="3020" w:type="dxa"/>
            <w:vAlign w:val="bottom"/>
            <w:tcBorders>
              <w:bottom w:val="single" w:sz="8" w:color="auto"/>
            </w:tcBorders>
          </w:tcPr>
          <w:p>
            <w:pPr>
              <w:spacing w:after="0"/>
              <w:rPr>
                <w:sz w:val="21"/>
                <w:szCs w:val="21"/>
                <w:color w:val="auto"/>
              </w:rPr>
            </w:pPr>
          </w:p>
        </w:tc>
        <w:tc>
          <w:tcPr>
            <w:tcW w:w="6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31"/>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1" w:lineRule="exact"/>
              <w:rPr>
                <w:sz w:val="20"/>
                <w:szCs w:val="20"/>
                <w:color w:val="auto"/>
              </w:rPr>
            </w:pPr>
            <w:r>
              <w:rPr>
                <w:rFonts w:ascii="Arial" w:cs="Arial" w:eastAsia="Arial" w:hAnsi="Arial"/>
                <w:sz w:val="21"/>
                <w:szCs w:val="21"/>
                <w:color w:val="auto"/>
              </w:rPr>
              <w:t>semelhantes incluindo, os descritos nos</w:t>
            </w:r>
          </w:p>
        </w:tc>
        <w:tc>
          <w:tcPr>
            <w:tcW w:w="3020" w:type="dxa"/>
            <w:vAlign w:val="bottom"/>
            <w:tcBorders>
              <w:right w:val="single" w:sz="8" w:color="auto"/>
            </w:tcBorders>
          </w:tcPr>
          <w:p>
            <w:pPr>
              <w:ind w:left="80"/>
              <w:spacing w:after="0" w:line="231" w:lineRule="exact"/>
              <w:rPr>
                <w:sz w:val="20"/>
                <w:szCs w:val="20"/>
                <w:color w:val="auto"/>
              </w:rPr>
            </w:pPr>
            <w:r>
              <w:rPr>
                <w:rFonts w:ascii="Arial" w:cs="Arial" w:eastAsia="Arial" w:hAnsi="Arial"/>
                <w:sz w:val="21"/>
                <w:szCs w:val="21"/>
                <w:color w:val="auto"/>
              </w:rPr>
              <w:t>9024.90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códigos HS: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9017- Produtos usados nas mãos, sejam</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eletrônicos ou não.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9024- Produtos para testar a dureza,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resistência, compressibilidade, elasticidade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ou outras propriedades mecânicas 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materiais, por ex. metais, madeira, têxteis,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102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21"/>
                <w:szCs w:val="21"/>
                <w:color w:val="auto"/>
              </w:rPr>
              <w:t>papel, plásticos, concreto, couro, etc.</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20" w:type="dxa"/>
            <w:vAlign w:val="bottom"/>
            <w:tcBorders>
              <w:right w:val="single" w:sz="8" w:color="auto"/>
            </w:tcBorders>
          </w:tcPr>
          <w:p>
            <w:pPr>
              <w:jc w:val="center"/>
              <w:ind w:right="37"/>
              <w:spacing w:after="0" w:line="208" w:lineRule="exact"/>
              <w:rPr>
                <w:sz w:val="20"/>
                <w:szCs w:val="20"/>
                <w:color w:val="auto"/>
              </w:rPr>
            </w:pPr>
            <w:r>
              <w:rPr>
                <w:rFonts w:ascii="Arial" w:cs="Arial" w:eastAsia="Arial" w:hAnsi="Arial"/>
                <w:sz w:val="21"/>
                <w:szCs w:val="21"/>
                <w:b w:val="1"/>
                <w:bCs w:val="1"/>
                <w:color w:val="auto"/>
                <w:w w:val="97"/>
              </w:rPr>
              <w:t>XIX -04</w:t>
            </w:r>
          </w:p>
        </w:tc>
        <w:tc>
          <w:tcPr>
            <w:tcW w:w="4540" w:type="dxa"/>
            <w:vAlign w:val="bottom"/>
            <w:tcBorders>
              <w:right w:val="single" w:sz="8" w:color="auto"/>
            </w:tcBorders>
          </w:tcPr>
          <w:p>
            <w:pPr>
              <w:ind w:left="60"/>
              <w:spacing w:after="0" w:line="208" w:lineRule="exact"/>
              <w:rPr>
                <w:sz w:val="20"/>
                <w:szCs w:val="20"/>
                <w:color w:val="auto"/>
              </w:rPr>
            </w:pPr>
            <w:r>
              <w:rPr>
                <w:rFonts w:ascii="Arial" w:cs="Arial" w:eastAsia="Arial" w:hAnsi="Arial"/>
                <w:sz w:val="21"/>
                <w:szCs w:val="21"/>
                <w:color w:val="auto"/>
              </w:rPr>
              <w:t>Hidrômetros, termômetros, medidores de pH,</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9025.11, 9025.19, 9025.90,</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viscosímetros, cromatógrafos e produtos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9025.90, 9026.10, 9026.20,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semelhantes incluindo combinação</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9026.80, 9026.90, 9027.10,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de instrumentos, peças e acessórios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9027.20, 9027.30, 9027.50,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102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9027.80, 9027.90</w:t>
            </w: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20" w:type="dxa"/>
            <w:vAlign w:val="bottom"/>
            <w:tcBorders>
              <w:right w:val="single" w:sz="8" w:color="auto"/>
            </w:tcBorders>
          </w:tcPr>
          <w:p>
            <w:pPr>
              <w:jc w:val="center"/>
              <w:ind w:right="37"/>
              <w:spacing w:after="0" w:line="209" w:lineRule="exact"/>
              <w:rPr>
                <w:sz w:val="20"/>
                <w:szCs w:val="20"/>
                <w:color w:val="auto"/>
              </w:rPr>
            </w:pPr>
            <w:r>
              <w:rPr>
                <w:rFonts w:ascii="Arial" w:cs="Arial" w:eastAsia="Arial" w:hAnsi="Arial"/>
                <w:sz w:val="21"/>
                <w:szCs w:val="21"/>
                <w:b w:val="1"/>
                <w:bCs w:val="1"/>
                <w:color w:val="auto"/>
                <w:w w:val="97"/>
              </w:rPr>
              <w:t>XIX -05</w:t>
            </w:r>
          </w:p>
        </w:tc>
        <w:tc>
          <w:tcPr>
            <w:tcW w:w="4540" w:type="dxa"/>
            <w:vAlign w:val="bottom"/>
            <w:tcBorders>
              <w:right w:val="single" w:sz="8" w:color="auto"/>
            </w:tcBorders>
          </w:tcPr>
          <w:p>
            <w:pPr>
              <w:ind w:left="60"/>
              <w:spacing w:after="0" w:line="209" w:lineRule="exact"/>
              <w:rPr>
                <w:sz w:val="20"/>
                <w:szCs w:val="20"/>
                <w:color w:val="auto"/>
              </w:rPr>
            </w:pPr>
            <w:r>
              <w:rPr>
                <w:rFonts w:ascii="Arial" w:cs="Arial" w:eastAsia="Arial" w:hAnsi="Arial"/>
                <w:sz w:val="21"/>
                <w:szCs w:val="21"/>
                <w:color w:val="auto"/>
              </w:rPr>
              <w:t>Contadores de gases, de líquidos ou de</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9028.10, 9028.20, 9028.30,</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electricidade, incluídos os aparelhos para a sua</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9028.90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80" w:type="dxa"/>
            <w:vAlign w:val="bottom"/>
          </w:tcPr>
          <w:p>
            <w:pPr>
              <w:spacing w:after="0"/>
              <w:rPr>
                <w:sz w:val="23"/>
                <w:szCs w:val="23"/>
                <w:color w:val="auto"/>
              </w:rPr>
            </w:pPr>
          </w:p>
        </w:tc>
        <w:tc>
          <w:tcPr>
            <w:tcW w:w="1020" w:type="dxa"/>
            <w:vAlign w:val="bottom"/>
            <w:tcBorders>
              <w:right w:val="single" w:sz="8" w:color="auto"/>
            </w:tcBorders>
          </w:tcPr>
          <w:p>
            <w:pPr>
              <w:spacing w:after="0"/>
              <w:rPr>
                <w:sz w:val="23"/>
                <w:szCs w:val="23"/>
                <w:color w:val="auto"/>
              </w:rPr>
            </w:pPr>
          </w:p>
        </w:tc>
        <w:tc>
          <w:tcPr>
            <w:tcW w:w="4540" w:type="dxa"/>
            <w:vAlign w:val="bottom"/>
            <w:tcBorders>
              <w:right w:val="single" w:sz="8" w:color="auto"/>
            </w:tcBorders>
          </w:tcPr>
          <w:p>
            <w:pPr>
              <w:ind w:left="60"/>
              <w:spacing w:after="0"/>
              <w:rPr>
                <w:sz w:val="20"/>
                <w:szCs w:val="20"/>
                <w:color w:val="auto"/>
              </w:rPr>
            </w:pPr>
            <w:r>
              <w:rPr>
                <w:rFonts w:ascii="Arial" w:cs="Arial" w:eastAsia="Arial" w:hAnsi="Arial"/>
                <w:sz w:val="21"/>
                <w:szCs w:val="21"/>
                <w:color w:val="auto"/>
              </w:rPr>
              <w:t>aferição</w:t>
            </w:r>
          </w:p>
        </w:tc>
        <w:tc>
          <w:tcPr>
            <w:tcW w:w="3020" w:type="dxa"/>
            <w:vAlign w:val="bottom"/>
            <w:tcBorders>
              <w:right w:val="single" w:sz="8" w:color="auto"/>
            </w:tcBorders>
          </w:tcPr>
          <w:p>
            <w:pPr>
              <w:spacing w:after="0"/>
              <w:rPr>
                <w:sz w:val="23"/>
                <w:szCs w:val="23"/>
                <w:color w:val="auto"/>
              </w:rPr>
            </w:pP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19"/>
        </w:trPr>
        <w:tc>
          <w:tcPr>
            <w:tcW w:w="1180" w:type="dxa"/>
            <w:vAlign w:val="bottom"/>
            <w:tcBorders>
              <w:right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020" w:type="dxa"/>
            <w:vAlign w:val="bottom"/>
            <w:tcBorders>
              <w:bottom w:val="single" w:sz="8" w:color="auto"/>
              <w:right w:val="single" w:sz="8" w:color="auto"/>
            </w:tcBorders>
          </w:tcPr>
          <w:p>
            <w:pPr>
              <w:spacing w:after="0"/>
              <w:rPr>
                <w:sz w:val="19"/>
                <w:szCs w:val="19"/>
                <w:color w:val="auto"/>
              </w:rPr>
            </w:pPr>
          </w:p>
        </w:tc>
        <w:tc>
          <w:tcPr>
            <w:tcW w:w="4540" w:type="dxa"/>
            <w:vAlign w:val="bottom"/>
            <w:tcBorders>
              <w:bottom w:val="single" w:sz="8" w:color="auto"/>
              <w:right w:val="single" w:sz="8" w:color="auto"/>
            </w:tcBorders>
          </w:tcPr>
          <w:p>
            <w:pPr>
              <w:spacing w:after="0"/>
              <w:rPr>
                <w:sz w:val="19"/>
                <w:szCs w:val="19"/>
                <w:color w:val="auto"/>
              </w:rPr>
            </w:pPr>
          </w:p>
        </w:tc>
        <w:tc>
          <w:tcPr>
            <w:tcW w:w="3020" w:type="dxa"/>
            <w:vAlign w:val="bottom"/>
            <w:tcBorders>
              <w:bottom w:val="single" w:sz="8" w:color="auto"/>
              <w:right w:val="single" w:sz="8" w:color="auto"/>
            </w:tcBorders>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20" w:type="dxa"/>
            <w:vAlign w:val="bottom"/>
            <w:tcBorders>
              <w:right w:val="single" w:sz="8" w:color="auto"/>
            </w:tcBorders>
          </w:tcPr>
          <w:p>
            <w:pPr>
              <w:spacing w:after="0"/>
              <w:rPr>
                <w:sz w:val="18"/>
                <w:szCs w:val="18"/>
                <w:color w:val="auto"/>
              </w:rPr>
            </w:pPr>
          </w:p>
        </w:tc>
        <w:tc>
          <w:tcPr>
            <w:tcW w:w="4540" w:type="dxa"/>
            <w:vAlign w:val="bottom"/>
            <w:tcBorders>
              <w:right w:val="single" w:sz="8" w:color="auto"/>
            </w:tcBorders>
          </w:tcPr>
          <w:p>
            <w:pPr>
              <w:ind w:left="60"/>
              <w:spacing w:after="0" w:line="208" w:lineRule="exact"/>
              <w:rPr>
                <w:sz w:val="20"/>
                <w:szCs w:val="20"/>
                <w:color w:val="auto"/>
              </w:rPr>
            </w:pPr>
            <w:r>
              <w:rPr>
                <w:rFonts w:ascii="Arial" w:cs="Arial" w:eastAsia="Arial" w:hAnsi="Arial"/>
                <w:sz w:val="21"/>
                <w:szCs w:val="21"/>
                <w:color w:val="auto"/>
              </w:rPr>
              <w:t>Conta-rotações, taxímetros, tacômetros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9029.10, 9029.20, 9029.90</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e produtos semelhantes incluindo,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vMerge w:val="restart"/>
          </w:tcPr>
          <w:p>
            <w:pPr>
              <w:jc w:val="center"/>
              <w:ind w:right="37"/>
              <w:spacing w:after="0"/>
              <w:rPr>
                <w:sz w:val="20"/>
                <w:szCs w:val="20"/>
                <w:color w:val="auto"/>
              </w:rPr>
            </w:pPr>
            <w:r>
              <w:rPr>
                <w:rFonts w:ascii="Arial" w:cs="Arial" w:eastAsia="Arial" w:hAnsi="Arial"/>
                <w:sz w:val="21"/>
                <w:szCs w:val="21"/>
                <w:b w:val="1"/>
                <w:bCs w:val="1"/>
                <w:color w:val="auto"/>
                <w:w w:val="91"/>
              </w:rPr>
              <w:t>XIX -06</w:t>
            </w: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Peças e acessórios.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vMerge w:val="continue"/>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Os produtos que incorporem ou não um</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dispositivo de registro de relógio e sejam ou</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não equipados com dispositivos mecânicos ou</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eléctricos simples para ativar um aparelho de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102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21"/>
                <w:szCs w:val="21"/>
                <w:color w:val="auto"/>
              </w:rPr>
              <w:t>sinalização, controles de máquina, freios, etc.</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5"/>
        </w:trPr>
        <w:tc>
          <w:tcPr>
            <w:tcW w:w="1180" w:type="dxa"/>
            <w:vAlign w:val="bottom"/>
            <w:tcBorders>
              <w:right w:val="single" w:sz="8" w:color="auto"/>
            </w:tcBorders>
          </w:tcPr>
          <w:p>
            <w:pPr>
              <w:spacing w:after="0"/>
              <w:rPr>
                <w:sz w:val="23"/>
                <w:szCs w:val="23"/>
                <w:color w:val="auto"/>
              </w:rPr>
            </w:pPr>
          </w:p>
        </w:tc>
        <w:tc>
          <w:tcPr>
            <w:tcW w:w="80" w:type="dxa"/>
            <w:vAlign w:val="bottom"/>
            <w:shd w:val="clear" w:color="auto" w:fill="D9D9D9"/>
          </w:tcPr>
          <w:p>
            <w:pPr>
              <w:spacing w:after="0"/>
              <w:rPr>
                <w:sz w:val="23"/>
                <w:szCs w:val="23"/>
                <w:color w:val="auto"/>
              </w:rPr>
            </w:pPr>
          </w:p>
        </w:tc>
        <w:tc>
          <w:tcPr>
            <w:tcW w:w="1020" w:type="dxa"/>
            <w:vAlign w:val="bottom"/>
            <w:tcBorders>
              <w:right w:val="single" w:sz="8" w:color="D9D9D9"/>
            </w:tcBorders>
            <w:shd w:val="clear" w:color="auto" w:fill="D9D9D9"/>
          </w:tcPr>
          <w:p>
            <w:pPr>
              <w:spacing w:after="0"/>
              <w:rPr>
                <w:sz w:val="23"/>
                <w:szCs w:val="23"/>
                <w:color w:val="auto"/>
              </w:rPr>
            </w:pPr>
          </w:p>
        </w:tc>
        <w:tc>
          <w:tcPr>
            <w:tcW w:w="4540" w:type="dxa"/>
            <w:vAlign w:val="bottom"/>
            <w:tcBorders>
              <w:right w:val="single" w:sz="8" w:color="D9D9D9"/>
            </w:tcBorders>
            <w:shd w:val="clear" w:color="auto" w:fill="D9D9D9"/>
          </w:tcPr>
          <w:p>
            <w:pPr>
              <w:ind w:left="280"/>
              <w:spacing w:after="0"/>
              <w:rPr>
                <w:sz w:val="20"/>
                <w:szCs w:val="20"/>
                <w:color w:val="auto"/>
              </w:rPr>
            </w:pPr>
            <w:r>
              <w:rPr>
                <w:rFonts w:ascii="Arial" w:cs="Arial" w:eastAsia="Arial" w:hAnsi="Arial"/>
                <w:sz w:val="21"/>
                <w:szCs w:val="21"/>
                <w:b w:val="1"/>
                <w:bCs w:val="1"/>
                <w:color w:val="auto"/>
              </w:rPr>
              <w:t>Grupo XVI – Minerais, matérias-primas e</w:t>
            </w:r>
          </w:p>
        </w:tc>
        <w:tc>
          <w:tcPr>
            <w:tcW w:w="3020" w:type="dxa"/>
            <w:vAlign w:val="bottom"/>
            <w:tcBorders>
              <w:right w:val="single" w:sz="8" w:color="auto"/>
            </w:tcBorders>
            <w:shd w:val="clear" w:color="auto" w:fill="D9D9D9"/>
          </w:tcPr>
          <w:p>
            <w:pPr>
              <w:spacing w:after="0"/>
              <w:rPr>
                <w:sz w:val="20"/>
                <w:szCs w:val="20"/>
                <w:color w:val="auto"/>
              </w:rPr>
            </w:pPr>
            <w:r>
              <w:rPr>
                <w:rFonts w:ascii="Arial" w:cs="Arial" w:eastAsia="Arial" w:hAnsi="Arial"/>
                <w:sz w:val="21"/>
                <w:szCs w:val="21"/>
                <w:b w:val="1"/>
                <w:bCs w:val="1"/>
                <w:color w:val="auto"/>
              </w:rPr>
              <w:t>produtos químicos</w:t>
            </w: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72"/>
        </w:trPr>
        <w:tc>
          <w:tcPr>
            <w:tcW w:w="1180" w:type="dxa"/>
            <w:vAlign w:val="bottom"/>
            <w:tcBorders>
              <w:right w:val="single" w:sz="8" w:color="auto"/>
            </w:tcBorders>
          </w:tcPr>
          <w:p>
            <w:pPr>
              <w:spacing w:after="0"/>
              <w:rPr>
                <w:sz w:val="6"/>
                <w:szCs w:val="6"/>
                <w:color w:val="auto"/>
              </w:rPr>
            </w:pPr>
          </w:p>
        </w:tc>
        <w:tc>
          <w:tcPr>
            <w:tcW w:w="80" w:type="dxa"/>
            <w:vAlign w:val="bottom"/>
            <w:tcBorders>
              <w:bottom w:val="single" w:sz="8" w:color="auto"/>
            </w:tcBorders>
            <w:shd w:val="clear" w:color="auto" w:fill="D9D9D9"/>
          </w:tcPr>
          <w:p>
            <w:pPr>
              <w:spacing w:after="0"/>
              <w:rPr>
                <w:sz w:val="6"/>
                <w:szCs w:val="6"/>
                <w:color w:val="auto"/>
              </w:rPr>
            </w:pPr>
          </w:p>
        </w:tc>
        <w:tc>
          <w:tcPr>
            <w:tcW w:w="1020" w:type="dxa"/>
            <w:vAlign w:val="bottom"/>
            <w:tcBorders>
              <w:bottom w:val="single" w:sz="8" w:color="auto"/>
              <w:right w:val="single" w:sz="8" w:color="D9D9D9"/>
            </w:tcBorders>
            <w:shd w:val="clear" w:color="auto" w:fill="D9D9D9"/>
          </w:tcPr>
          <w:p>
            <w:pPr>
              <w:spacing w:after="0"/>
              <w:rPr>
                <w:sz w:val="6"/>
                <w:szCs w:val="6"/>
                <w:color w:val="auto"/>
              </w:rPr>
            </w:pPr>
          </w:p>
        </w:tc>
        <w:tc>
          <w:tcPr>
            <w:tcW w:w="4540" w:type="dxa"/>
            <w:vAlign w:val="bottom"/>
            <w:tcBorders>
              <w:bottom w:val="single" w:sz="8" w:color="auto"/>
              <w:right w:val="single" w:sz="8" w:color="D9D9D9"/>
            </w:tcBorders>
            <w:shd w:val="clear" w:color="auto" w:fill="D9D9D9"/>
          </w:tcPr>
          <w:p>
            <w:pPr>
              <w:spacing w:after="0"/>
              <w:rPr>
                <w:sz w:val="6"/>
                <w:szCs w:val="6"/>
                <w:color w:val="auto"/>
              </w:rPr>
            </w:pPr>
          </w:p>
        </w:tc>
        <w:tc>
          <w:tcPr>
            <w:tcW w:w="3020" w:type="dxa"/>
            <w:vAlign w:val="bottom"/>
            <w:tcBorders>
              <w:bottom w:val="single" w:sz="8" w:color="auto"/>
              <w:right w:val="single" w:sz="8" w:color="auto"/>
            </w:tcBorders>
            <w:shd w:val="clear" w:color="auto" w:fill="D9D9D9"/>
          </w:tcPr>
          <w:p>
            <w:pPr>
              <w:spacing w:after="0"/>
              <w:rPr>
                <w:sz w:val="6"/>
                <w:szCs w:val="6"/>
                <w:color w:val="auto"/>
              </w:rPr>
            </w:pPr>
          </w:p>
        </w:tc>
        <w:tc>
          <w:tcPr>
            <w:tcW w:w="68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26"/>
        </w:trPr>
        <w:tc>
          <w:tcPr>
            <w:tcW w:w="1180" w:type="dxa"/>
            <w:vAlign w:val="bottom"/>
            <w:tcBorders>
              <w:right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020" w:type="dxa"/>
            <w:vAlign w:val="bottom"/>
            <w:tcBorders>
              <w:bottom w:val="single" w:sz="8" w:color="auto"/>
              <w:right w:val="single" w:sz="8" w:color="auto"/>
            </w:tcBorders>
          </w:tcPr>
          <w:p>
            <w:pPr>
              <w:jc w:val="center"/>
              <w:ind w:right="37"/>
              <w:spacing w:after="0" w:line="226" w:lineRule="exact"/>
              <w:rPr>
                <w:sz w:val="20"/>
                <w:szCs w:val="20"/>
                <w:color w:val="auto"/>
              </w:rPr>
            </w:pPr>
            <w:r>
              <w:rPr>
                <w:rFonts w:ascii="Arial" w:cs="Arial" w:eastAsia="Arial" w:hAnsi="Arial"/>
                <w:sz w:val="21"/>
                <w:szCs w:val="21"/>
                <w:b w:val="1"/>
                <w:bCs w:val="1"/>
                <w:color w:val="auto"/>
                <w:w w:val="95"/>
              </w:rPr>
              <w:t>NP</w:t>
            </w:r>
          </w:p>
        </w:tc>
        <w:tc>
          <w:tcPr>
            <w:tcW w:w="4540" w:type="dxa"/>
            <w:vAlign w:val="bottom"/>
            <w:tcBorders>
              <w:bottom w:val="single" w:sz="8" w:color="auto"/>
              <w:right w:val="single" w:sz="8" w:color="auto"/>
            </w:tcBorders>
          </w:tcPr>
          <w:p>
            <w:pPr>
              <w:ind w:left="118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020" w:type="dxa"/>
            <w:vAlign w:val="bottom"/>
            <w:tcBorders>
              <w:right w:val="single" w:sz="8" w:color="auto"/>
            </w:tcBorders>
          </w:tcPr>
          <w:p>
            <w:pPr>
              <w:jc w:val="center"/>
              <w:ind w:right="37"/>
              <w:spacing w:after="0" w:line="208" w:lineRule="exact"/>
              <w:rPr>
                <w:sz w:val="20"/>
                <w:szCs w:val="20"/>
                <w:color w:val="auto"/>
              </w:rPr>
            </w:pPr>
            <w:r>
              <w:rPr>
                <w:rFonts w:ascii="Arial" w:cs="Arial" w:eastAsia="Arial" w:hAnsi="Arial"/>
                <w:sz w:val="21"/>
                <w:szCs w:val="21"/>
                <w:b w:val="1"/>
                <w:bCs w:val="1"/>
                <w:color w:val="auto"/>
                <w:w w:val="99"/>
              </w:rPr>
              <w:t>XVI-01</w:t>
            </w:r>
          </w:p>
        </w:tc>
        <w:tc>
          <w:tcPr>
            <w:tcW w:w="4540" w:type="dxa"/>
            <w:vAlign w:val="bottom"/>
            <w:tcBorders>
              <w:right w:val="single" w:sz="8" w:color="auto"/>
            </w:tcBorders>
          </w:tcPr>
          <w:p>
            <w:pPr>
              <w:ind w:left="60"/>
              <w:spacing w:after="0" w:line="208" w:lineRule="exact"/>
              <w:rPr>
                <w:sz w:val="20"/>
                <w:szCs w:val="20"/>
                <w:color w:val="auto"/>
              </w:rPr>
            </w:pPr>
            <w:r>
              <w:rPr>
                <w:rFonts w:ascii="Arial" w:cs="Arial" w:eastAsia="Arial" w:hAnsi="Arial"/>
                <w:sz w:val="21"/>
                <w:szCs w:val="21"/>
                <w:color w:val="auto"/>
              </w:rPr>
              <w:t>Combustível sólido e semi-sólido e produtos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2701.11, 2701.12, 2701.19,</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semelhantes incluindo, os descritos nos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2701.20, 2702.10, 2702.20,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códigos HS: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2703, 2704,2713.11,3606.90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2701-04: Os produtos que são fabricados 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partir do carvão.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2701,11 - Carvão antracito (seja ou não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pulverizado)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2701,12 - Carvão betuminoso (pulverizado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ou não)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2701,19 - Outro carvão (excepto linhita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e turfa)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2701.20 - Briquetes, ovoides e sólidos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semelhantes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2702.10 - Linhita, seja ou não pulverizado.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2702.20 - Linhita aglomerada.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2703 - Cobre todos os tipos de turfa como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pelota usado como combustível.</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2704 - Coque e semicoque de carvão, de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-431165</wp:posOffset>
            </wp:positionH>
            <wp:positionV relativeFrom="paragraph">
              <wp:posOffset>2771775</wp:posOffset>
            </wp:positionV>
            <wp:extent cx="4763" cy="4763"/>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a:extLst>
                        <a:ext uri="{28A0092B-C50C-407E-A947-70E740481C1C}"/>
                      </a:extLst>
                    </a:blip>
                    <a:srcRect/>
                    <a:stretch>
                      <a:fillRect/>
                    </a:stretch>
                  </pic:blipFill>
                  <pic:spPr bwMode="auto">
                    <a:xfrm>
                      <a:off x="0" y="0"/>
                      <a:ext cx="4763" cy="4763"/>
                    </a:xfrm>
                    <a:prstGeom prst="rect">
                      <a:avLst/>
                    </a:prstGeom>
                    <a:noFill/>
                  </pic:spPr>
                </pic:pic>
              </a:graphicData>
            </a:graphic>
          </wp:anchor>
        </w:drawing>
      </w:r>
    </w:p>
    <w:p>
      <w:pPr>
        <w:sectPr>
          <w:pgSz w:w="11900" w:h="16838" w:orient="portrait"/>
          <w:cols w:equalWidth="0" w:num="1">
            <w:col w:w="10520"/>
          </w:cols>
          <w:pgMar w:left="680" w:top="803" w:right="706" w:bottom="1440" w:gutter="0" w:footer="0" w:header="0"/>
        </w:sectPr>
      </w:pPr>
    </w:p>
    <w:bookmarkStart w:id="26" w:name="page27"/>
    <w:bookmarkEnd w:id="26"/>
    <w:tbl>
      <w:tblPr>
        <w:tblLayout w:type="fixed"/>
        <w:tblInd w:w="0" w:type="dxa"/>
        <w:tblCellMar>
          <w:top w:w="0" w:type="dxa"/>
          <w:left w:w="0" w:type="dxa"/>
          <w:bottom w:w="0" w:type="dxa"/>
          <w:right w:w="0" w:type="dxa"/>
        </w:tblCellMar>
      </w:tblPr>
      <w:tr>
        <w:trPr>
          <w:trHeight w:val="230"/>
        </w:trPr>
        <w:tc>
          <w:tcPr>
            <w:tcW w:w="2280" w:type="dxa"/>
            <w:vAlign w:val="bottom"/>
            <w:gridSpan w:val="2"/>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4540" w:type="dxa"/>
            <w:vAlign w:val="bottom"/>
          </w:tcPr>
          <w:p>
            <w:pPr>
              <w:spacing w:after="0"/>
              <w:rPr>
                <w:sz w:val="19"/>
                <w:szCs w:val="19"/>
                <w:color w:val="auto"/>
              </w:rPr>
            </w:pPr>
          </w:p>
        </w:tc>
        <w:tc>
          <w:tcPr>
            <w:tcW w:w="3700" w:type="dxa"/>
            <w:vAlign w:val="bottom"/>
            <w:gridSpan w:val="3"/>
          </w:tcPr>
          <w:p>
            <w:pPr>
              <w:ind w:left="3400"/>
              <w:spacing w:after="0"/>
              <w:rPr>
                <w:sz w:val="20"/>
                <w:szCs w:val="20"/>
                <w:color w:val="auto"/>
              </w:rPr>
            </w:pPr>
            <w:r>
              <w:rPr>
                <w:rFonts w:ascii="Times New Roman" w:cs="Times New Roman" w:eastAsia="Times New Roman" w:hAnsi="Times New Roman"/>
                <w:sz w:val="20"/>
                <w:szCs w:val="20"/>
                <w:color w:val="auto"/>
                <w:w w:val="93"/>
              </w:rPr>
              <w:t>371</w:t>
            </w:r>
          </w:p>
        </w:tc>
      </w:tr>
      <w:tr>
        <w:trPr>
          <w:trHeight w:val="40"/>
        </w:trPr>
        <w:tc>
          <w:tcPr>
            <w:tcW w:w="1160" w:type="dxa"/>
            <w:vAlign w:val="bottom"/>
            <w:tcBorders>
              <w:bottom w:val="single" w:sz="8" w:color="auto"/>
            </w:tcBorders>
          </w:tcPr>
          <w:p>
            <w:pPr>
              <w:spacing w:after="0"/>
              <w:rPr>
                <w:sz w:val="3"/>
                <w:szCs w:val="3"/>
                <w:color w:val="auto"/>
              </w:rPr>
            </w:pPr>
          </w:p>
        </w:tc>
        <w:tc>
          <w:tcPr>
            <w:tcW w:w="1120" w:type="dxa"/>
            <w:vAlign w:val="bottom"/>
            <w:tcBorders>
              <w:bottom w:val="single" w:sz="8" w:color="auto"/>
            </w:tcBorders>
          </w:tcPr>
          <w:p>
            <w:pPr>
              <w:spacing w:after="0"/>
              <w:rPr>
                <w:sz w:val="3"/>
                <w:szCs w:val="3"/>
                <w:color w:val="auto"/>
              </w:rPr>
            </w:pPr>
          </w:p>
        </w:tc>
        <w:tc>
          <w:tcPr>
            <w:tcW w:w="454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660" w:type="dxa"/>
            <w:vAlign w:val="bottom"/>
            <w:tcBorders>
              <w:bottom w:val="single" w:sz="8" w:color="auto"/>
            </w:tcBorders>
          </w:tcPr>
          <w:p>
            <w:pPr>
              <w:spacing w:after="0"/>
              <w:rPr>
                <w:sz w:val="3"/>
                <w:szCs w:val="3"/>
                <w:color w:val="auto"/>
              </w:rPr>
            </w:pPr>
          </w:p>
        </w:tc>
      </w:tr>
      <w:tr>
        <w:trPr>
          <w:trHeight w:val="257"/>
        </w:trPr>
        <w:tc>
          <w:tcPr>
            <w:tcW w:w="1160" w:type="dxa"/>
            <w:vAlign w:val="bottom"/>
          </w:tcPr>
          <w:p>
            <w:pPr>
              <w:spacing w:after="0"/>
              <w:rPr>
                <w:sz w:val="22"/>
                <w:szCs w:val="22"/>
                <w:color w:val="auto"/>
              </w:rPr>
            </w:pPr>
          </w:p>
        </w:tc>
        <w:tc>
          <w:tcPr>
            <w:tcW w:w="1120" w:type="dxa"/>
            <w:vAlign w:val="bottom"/>
            <w:tcBorders>
              <w:bottom w:val="single" w:sz="8" w:color="auto"/>
            </w:tcBorders>
          </w:tcPr>
          <w:p>
            <w:pPr>
              <w:spacing w:after="0"/>
              <w:rPr>
                <w:sz w:val="22"/>
                <w:szCs w:val="22"/>
                <w:color w:val="auto"/>
              </w:rPr>
            </w:pPr>
          </w:p>
        </w:tc>
        <w:tc>
          <w:tcPr>
            <w:tcW w:w="4540" w:type="dxa"/>
            <w:vAlign w:val="bottom"/>
            <w:tcBorders>
              <w:bottom w:val="single" w:sz="8" w:color="auto"/>
            </w:tcBorders>
          </w:tcPr>
          <w:p>
            <w:pPr>
              <w:spacing w:after="0"/>
              <w:rPr>
                <w:sz w:val="22"/>
                <w:szCs w:val="22"/>
                <w:color w:val="auto"/>
              </w:rPr>
            </w:pPr>
          </w:p>
        </w:tc>
        <w:tc>
          <w:tcPr>
            <w:tcW w:w="302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199"/>
        </w:trPr>
        <w:tc>
          <w:tcPr>
            <w:tcW w:w="1160" w:type="dxa"/>
            <w:vAlign w:val="bottom"/>
            <w:tcBorders>
              <w:right w:val="single" w:sz="8" w:color="auto"/>
            </w:tcBorders>
          </w:tcPr>
          <w:p>
            <w:pPr>
              <w:spacing w:after="0"/>
              <w:rPr>
                <w:sz w:val="17"/>
                <w:szCs w:val="17"/>
                <w:color w:val="auto"/>
              </w:rPr>
            </w:pPr>
          </w:p>
        </w:tc>
        <w:tc>
          <w:tcPr>
            <w:tcW w:w="1120" w:type="dxa"/>
            <w:vAlign w:val="bottom"/>
            <w:tcBorders>
              <w:right w:val="single" w:sz="8" w:color="auto"/>
            </w:tcBorders>
          </w:tcPr>
          <w:p>
            <w:pPr>
              <w:spacing w:after="0"/>
              <w:rPr>
                <w:sz w:val="17"/>
                <w:szCs w:val="17"/>
                <w:color w:val="auto"/>
              </w:rPr>
            </w:pPr>
          </w:p>
        </w:tc>
        <w:tc>
          <w:tcPr>
            <w:tcW w:w="4540" w:type="dxa"/>
            <w:vAlign w:val="bottom"/>
            <w:tcBorders>
              <w:right w:val="single" w:sz="8" w:color="auto"/>
            </w:tcBorders>
          </w:tcPr>
          <w:p>
            <w:pPr>
              <w:ind w:left="60"/>
              <w:spacing w:after="0" w:line="199" w:lineRule="exact"/>
              <w:rPr>
                <w:sz w:val="20"/>
                <w:szCs w:val="20"/>
                <w:color w:val="auto"/>
              </w:rPr>
            </w:pPr>
            <w:r>
              <w:rPr>
                <w:rFonts w:ascii="Arial" w:cs="Arial" w:eastAsia="Arial" w:hAnsi="Arial"/>
                <w:sz w:val="21"/>
                <w:szCs w:val="21"/>
                <w:color w:val="auto"/>
              </w:rPr>
              <w:t>linhita ou de turfa, seja ou não aglomerado.</w:t>
            </w:r>
          </w:p>
        </w:tc>
        <w:tc>
          <w:tcPr>
            <w:tcW w:w="3020" w:type="dxa"/>
            <w:vAlign w:val="bottom"/>
            <w:tcBorders>
              <w:right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660" w:type="dxa"/>
            <w:vAlign w:val="bottom"/>
          </w:tcPr>
          <w:p>
            <w:pPr>
              <w:spacing w:after="0"/>
              <w:rPr>
                <w:sz w:val="17"/>
                <w:szCs w:val="17"/>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2713,11 - Coque de petróleo, não calcinado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(coque verde) normalmente usado como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combustível</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3606,90 - Combustíveis sólidos substâncias</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sólidas) em comprimidos, bastões ou em</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formas semelhantes, excepto cristal ou pó. Por</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exemplo. metaldeído, hexamina, metenamina,</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etc. Combustível semi-sólido, etanol gel</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56"/>
        </w:trPr>
        <w:tc>
          <w:tcPr>
            <w:tcW w:w="1160" w:type="dxa"/>
            <w:vAlign w:val="bottom"/>
            <w:tcBorders>
              <w:right w:val="single" w:sz="8" w:color="auto"/>
            </w:tcBorders>
          </w:tcPr>
          <w:p>
            <w:pPr>
              <w:spacing w:after="0"/>
              <w:rPr>
                <w:sz w:val="22"/>
                <w:szCs w:val="22"/>
                <w:color w:val="auto"/>
              </w:rPr>
            </w:pPr>
          </w:p>
        </w:tc>
        <w:tc>
          <w:tcPr>
            <w:tcW w:w="112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ind w:left="60"/>
              <w:spacing w:after="0"/>
              <w:rPr>
                <w:sz w:val="20"/>
                <w:szCs w:val="20"/>
                <w:color w:val="auto"/>
              </w:rPr>
            </w:pPr>
            <w:r>
              <w:rPr>
                <w:rFonts w:ascii="Arial" w:cs="Arial" w:eastAsia="Arial" w:hAnsi="Arial"/>
                <w:sz w:val="21"/>
                <w:szCs w:val="21"/>
                <w:color w:val="auto"/>
              </w:rPr>
              <w:t>combustível ou combustível abrasivo</w:t>
            </w:r>
          </w:p>
        </w:tc>
        <w:tc>
          <w:tcPr>
            <w:tcW w:w="3020" w:type="dxa"/>
            <w:vAlign w:val="bottom"/>
            <w:tcBorders>
              <w:bottom w:val="single" w:sz="8" w:color="auto"/>
              <w:right w:val="single" w:sz="8" w:color="auto"/>
            </w:tcBorders>
          </w:tcPr>
          <w:p>
            <w:pPr>
              <w:spacing w:after="0"/>
              <w:rPr>
                <w:sz w:val="22"/>
                <w:szCs w:val="22"/>
                <w:color w:val="auto"/>
              </w:rPr>
            </w:pPr>
          </w:p>
        </w:tc>
        <w:tc>
          <w:tcPr>
            <w:tcW w:w="20" w:type="dxa"/>
            <w:vAlign w:val="bottom"/>
          </w:tcPr>
          <w:p>
            <w:pPr>
              <w:spacing w:after="0"/>
              <w:rPr>
                <w:sz w:val="22"/>
                <w:szCs w:val="22"/>
                <w:color w:val="auto"/>
              </w:rPr>
            </w:pPr>
          </w:p>
        </w:tc>
        <w:tc>
          <w:tcPr>
            <w:tcW w:w="660" w:type="dxa"/>
            <w:vAlign w:val="bottom"/>
          </w:tcPr>
          <w:p>
            <w:pPr>
              <w:spacing w:after="0"/>
              <w:rPr>
                <w:sz w:val="22"/>
                <w:szCs w:val="22"/>
                <w:color w:val="auto"/>
              </w:rPr>
            </w:pPr>
          </w:p>
        </w:tc>
      </w:tr>
      <w:tr>
        <w:trPr>
          <w:trHeight w:val="226"/>
        </w:trPr>
        <w:tc>
          <w:tcPr>
            <w:tcW w:w="1160" w:type="dxa"/>
            <w:vAlign w:val="bottom"/>
            <w:tcBorders>
              <w:right w:val="single" w:sz="8" w:color="auto"/>
            </w:tcBorders>
          </w:tcPr>
          <w:p>
            <w:pPr>
              <w:spacing w:after="0"/>
              <w:rPr>
                <w:sz w:val="19"/>
                <w:szCs w:val="19"/>
                <w:color w:val="auto"/>
              </w:rPr>
            </w:pPr>
          </w:p>
        </w:tc>
        <w:tc>
          <w:tcPr>
            <w:tcW w:w="1120" w:type="dxa"/>
            <w:vAlign w:val="bottom"/>
            <w:tcBorders>
              <w:bottom w:val="single" w:sz="8" w:color="auto"/>
              <w:right w:val="single" w:sz="8" w:color="auto"/>
            </w:tcBorders>
          </w:tcPr>
          <w:p>
            <w:pPr>
              <w:ind w:left="200"/>
              <w:spacing w:after="0" w:line="226" w:lineRule="exact"/>
              <w:rPr>
                <w:sz w:val="20"/>
                <w:szCs w:val="20"/>
                <w:color w:val="auto"/>
              </w:rPr>
            </w:pPr>
            <w:r>
              <w:rPr>
                <w:rFonts w:ascii="Arial" w:cs="Arial" w:eastAsia="Arial" w:hAnsi="Arial"/>
                <w:sz w:val="21"/>
                <w:szCs w:val="21"/>
                <w:b w:val="1"/>
                <w:bCs w:val="1"/>
                <w:color w:val="auto"/>
              </w:rPr>
              <w:t>XVI -02</w:t>
            </w:r>
          </w:p>
        </w:tc>
        <w:tc>
          <w:tcPr>
            <w:tcW w:w="4540" w:type="dxa"/>
            <w:vAlign w:val="bottom"/>
            <w:tcBorders>
              <w:bottom w:val="single" w:sz="8" w:color="auto"/>
              <w:right w:val="single" w:sz="8" w:color="auto"/>
            </w:tcBorders>
          </w:tcPr>
          <w:p>
            <w:pPr>
              <w:ind w:left="60"/>
              <w:spacing w:after="0" w:line="226" w:lineRule="exact"/>
              <w:rPr>
                <w:sz w:val="20"/>
                <w:szCs w:val="20"/>
                <w:color w:val="auto"/>
              </w:rPr>
            </w:pPr>
            <w:r>
              <w:rPr>
                <w:rFonts w:ascii="Arial" w:cs="Arial" w:eastAsia="Arial" w:hAnsi="Arial"/>
                <w:sz w:val="21"/>
                <w:szCs w:val="21"/>
                <w:color w:val="auto"/>
              </w:rPr>
              <w:t>Combustível líquido e produtos semelhantes</w:t>
            </w:r>
          </w:p>
        </w:tc>
        <w:tc>
          <w:tcPr>
            <w:tcW w:w="3020" w:type="dxa"/>
            <w:vAlign w:val="bottom"/>
            <w:tcBorders>
              <w:bottom w:val="single" w:sz="8" w:color="auto"/>
              <w:right w:val="single" w:sz="8" w:color="auto"/>
            </w:tcBorders>
          </w:tcPr>
          <w:p>
            <w:pPr>
              <w:ind w:left="80"/>
              <w:spacing w:after="0" w:line="226" w:lineRule="exact"/>
              <w:rPr>
                <w:sz w:val="20"/>
                <w:szCs w:val="20"/>
                <w:color w:val="auto"/>
              </w:rPr>
            </w:pPr>
            <w:r>
              <w:rPr>
                <w:rFonts w:ascii="Arial" w:cs="Arial" w:eastAsia="Arial" w:hAnsi="Arial"/>
                <w:sz w:val="21"/>
                <w:szCs w:val="21"/>
                <w:color w:val="auto"/>
              </w:rPr>
              <w:t>2710.12, 2710.19, 2710.20</w:t>
            </w:r>
          </w:p>
        </w:tc>
        <w:tc>
          <w:tcPr>
            <w:tcW w:w="20" w:type="dxa"/>
            <w:vAlign w:val="bottom"/>
          </w:tcPr>
          <w:p>
            <w:pPr>
              <w:spacing w:after="0"/>
              <w:rPr>
                <w:sz w:val="19"/>
                <w:szCs w:val="19"/>
                <w:color w:val="auto"/>
              </w:rPr>
            </w:pPr>
          </w:p>
        </w:tc>
        <w:tc>
          <w:tcPr>
            <w:tcW w:w="660" w:type="dxa"/>
            <w:vAlign w:val="bottom"/>
          </w:tcPr>
          <w:p>
            <w:pPr>
              <w:spacing w:after="0"/>
              <w:rPr>
                <w:sz w:val="19"/>
                <w:szCs w:val="19"/>
                <w:color w:val="auto"/>
              </w:rPr>
            </w:pPr>
          </w:p>
        </w:tc>
      </w:tr>
      <w:tr>
        <w:trPr>
          <w:trHeight w:val="208"/>
        </w:trPr>
        <w:tc>
          <w:tcPr>
            <w:tcW w:w="1160" w:type="dxa"/>
            <w:vAlign w:val="bottom"/>
            <w:tcBorders>
              <w:right w:val="single" w:sz="8" w:color="auto"/>
            </w:tcBorders>
          </w:tcPr>
          <w:p>
            <w:pPr>
              <w:spacing w:after="0"/>
              <w:rPr>
                <w:sz w:val="18"/>
                <w:szCs w:val="18"/>
                <w:color w:val="auto"/>
              </w:rPr>
            </w:pPr>
          </w:p>
        </w:tc>
        <w:tc>
          <w:tcPr>
            <w:tcW w:w="1120" w:type="dxa"/>
            <w:vAlign w:val="bottom"/>
            <w:tcBorders>
              <w:right w:val="single" w:sz="8" w:color="auto"/>
            </w:tcBorders>
          </w:tcPr>
          <w:p>
            <w:pPr>
              <w:ind w:left="200"/>
              <w:spacing w:after="0" w:line="208" w:lineRule="exact"/>
              <w:rPr>
                <w:sz w:val="20"/>
                <w:szCs w:val="20"/>
                <w:color w:val="auto"/>
              </w:rPr>
            </w:pPr>
            <w:r>
              <w:rPr>
                <w:rFonts w:ascii="Arial" w:cs="Arial" w:eastAsia="Arial" w:hAnsi="Arial"/>
                <w:sz w:val="21"/>
                <w:szCs w:val="21"/>
                <w:b w:val="1"/>
                <w:bCs w:val="1"/>
                <w:color w:val="auto"/>
              </w:rPr>
              <w:t>XVI -03</w:t>
            </w:r>
          </w:p>
        </w:tc>
        <w:tc>
          <w:tcPr>
            <w:tcW w:w="4540" w:type="dxa"/>
            <w:vAlign w:val="bottom"/>
            <w:tcBorders>
              <w:right w:val="single" w:sz="8" w:color="auto"/>
            </w:tcBorders>
          </w:tcPr>
          <w:p>
            <w:pPr>
              <w:ind w:left="60"/>
              <w:spacing w:after="0" w:line="208" w:lineRule="exact"/>
              <w:rPr>
                <w:sz w:val="20"/>
                <w:szCs w:val="20"/>
                <w:color w:val="auto"/>
              </w:rPr>
            </w:pPr>
            <w:r>
              <w:rPr>
                <w:rFonts w:ascii="Arial" w:cs="Arial" w:eastAsia="Arial" w:hAnsi="Arial"/>
                <w:sz w:val="21"/>
                <w:szCs w:val="21"/>
                <w:color w:val="auto"/>
              </w:rPr>
              <w:t>Gases comprimidos e produtos semelhantes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2711, 2801, 2804, 2811, 2814,</w:t>
            </w:r>
          </w:p>
        </w:tc>
        <w:tc>
          <w:tcPr>
            <w:tcW w:w="20" w:type="dxa"/>
            <w:vAlign w:val="bottom"/>
          </w:tcPr>
          <w:p>
            <w:pPr>
              <w:spacing w:after="0"/>
              <w:rPr>
                <w:sz w:val="18"/>
                <w:szCs w:val="18"/>
                <w:color w:val="auto"/>
              </w:rPr>
            </w:pPr>
          </w:p>
        </w:tc>
        <w:tc>
          <w:tcPr>
            <w:tcW w:w="660" w:type="dxa"/>
            <w:vAlign w:val="bottom"/>
          </w:tcPr>
          <w:p>
            <w:pPr>
              <w:spacing w:after="0"/>
              <w:rPr>
                <w:sz w:val="18"/>
                <w:szCs w:val="18"/>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incluindo, os descritos nos códigos HS: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2844, 2901, 2903.11, 3606.10,</w:t>
            </w: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2711 - Gases de petróleo e outros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3824.71</w:t>
            </w: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hidrocarbonetos gasosos.</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2801 - Flúor e cloro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2804 - H, He, N, Ar, Kr, Xe, N, 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2811,19 - Sulfeto de hidrogênio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2811,21 - Dióxido de carbono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2811,29 - SO2, N2O, CO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2814.10 - Amônia anidra (nome químico: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amônia)</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2844,40 - Radónio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2901 - Hidrocarbonetos acíclicos</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2903,11 - Clorometano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3606,10 - Líquido ou gás liquefeito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3824,71 - Clorofluorocarbonos</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combustíveis em recipientes de um tipo usado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para encher ou recarregar cigarros ou isqueiros</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semelhantes e com uma capacidade não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superior a 300 cm3 (por exemplo, butano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74"/>
        </w:trPr>
        <w:tc>
          <w:tcPr>
            <w:tcW w:w="1160" w:type="dxa"/>
            <w:vAlign w:val="bottom"/>
            <w:tcBorders>
              <w:right w:val="single" w:sz="8" w:color="auto"/>
            </w:tcBorders>
          </w:tcPr>
          <w:p>
            <w:pPr>
              <w:spacing w:after="0"/>
              <w:rPr>
                <w:sz w:val="23"/>
                <w:szCs w:val="23"/>
                <w:color w:val="auto"/>
              </w:rPr>
            </w:pPr>
          </w:p>
        </w:tc>
        <w:tc>
          <w:tcPr>
            <w:tcW w:w="1120" w:type="dxa"/>
            <w:vAlign w:val="bottom"/>
            <w:tcBorders>
              <w:right w:val="single" w:sz="8" w:color="auto"/>
            </w:tcBorders>
          </w:tcPr>
          <w:p>
            <w:pPr>
              <w:spacing w:after="0"/>
              <w:rPr>
                <w:sz w:val="23"/>
                <w:szCs w:val="23"/>
                <w:color w:val="auto"/>
              </w:rPr>
            </w:pPr>
          </w:p>
        </w:tc>
        <w:tc>
          <w:tcPr>
            <w:tcW w:w="4540" w:type="dxa"/>
            <w:vAlign w:val="bottom"/>
            <w:tcBorders>
              <w:right w:val="single" w:sz="8" w:color="auto"/>
            </w:tcBorders>
          </w:tcPr>
          <w:p>
            <w:pPr>
              <w:ind w:left="60"/>
              <w:spacing w:after="0"/>
              <w:rPr>
                <w:sz w:val="20"/>
                <w:szCs w:val="20"/>
                <w:color w:val="auto"/>
              </w:rPr>
            </w:pPr>
            <w:r>
              <w:rPr>
                <w:rFonts w:ascii="Arial" w:cs="Arial" w:eastAsia="Arial" w:hAnsi="Arial"/>
                <w:sz w:val="21"/>
                <w:szCs w:val="21"/>
                <w:color w:val="auto"/>
              </w:rPr>
              <w:t>líquido, etc.)</w:t>
            </w:r>
          </w:p>
        </w:tc>
        <w:tc>
          <w:tcPr>
            <w:tcW w:w="3020" w:type="dxa"/>
            <w:vAlign w:val="bottom"/>
            <w:tcBorders>
              <w:right w:val="single" w:sz="8" w:color="auto"/>
            </w:tcBorders>
          </w:tcPr>
          <w:p>
            <w:pPr>
              <w:spacing w:after="0"/>
              <w:rPr>
                <w:sz w:val="23"/>
                <w:szCs w:val="23"/>
                <w:color w:val="auto"/>
              </w:rPr>
            </w:pPr>
          </w:p>
        </w:tc>
        <w:tc>
          <w:tcPr>
            <w:tcW w:w="20" w:type="dxa"/>
            <w:vAlign w:val="bottom"/>
          </w:tcPr>
          <w:p>
            <w:pPr>
              <w:spacing w:after="0"/>
              <w:rPr>
                <w:sz w:val="23"/>
                <w:szCs w:val="23"/>
                <w:color w:val="auto"/>
              </w:rPr>
            </w:pPr>
          </w:p>
        </w:tc>
        <w:tc>
          <w:tcPr>
            <w:tcW w:w="660" w:type="dxa"/>
            <w:vAlign w:val="bottom"/>
          </w:tcPr>
          <w:p>
            <w:pPr>
              <w:spacing w:after="0"/>
              <w:rPr>
                <w:sz w:val="23"/>
                <w:szCs w:val="23"/>
                <w:color w:val="auto"/>
              </w:rPr>
            </w:pPr>
          </w:p>
        </w:tc>
      </w:tr>
      <w:tr>
        <w:trPr>
          <w:trHeight w:val="219"/>
        </w:trPr>
        <w:tc>
          <w:tcPr>
            <w:tcW w:w="1160" w:type="dxa"/>
            <w:vAlign w:val="bottom"/>
            <w:tcBorders>
              <w:right w:val="single" w:sz="8" w:color="auto"/>
            </w:tcBorders>
          </w:tcPr>
          <w:p>
            <w:pPr>
              <w:spacing w:after="0"/>
              <w:rPr>
                <w:sz w:val="19"/>
                <w:szCs w:val="19"/>
                <w:color w:val="auto"/>
              </w:rPr>
            </w:pPr>
          </w:p>
        </w:tc>
        <w:tc>
          <w:tcPr>
            <w:tcW w:w="1120" w:type="dxa"/>
            <w:vAlign w:val="bottom"/>
            <w:tcBorders>
              <w:bottom w:val="single" w:sz="8" w:color="auto"/>
              <w:right w:val="single" w:sz="8" w:color="auto"/>
            </w:tcBorders>
          </w:tcPr>
          <w:p>
            <w:pPr>
              <w:spacing w:after="0"/>
              <w:rPr>
                <w:sz w:val="19"/>
                <w:szCs w:val="19"/>
                <w:color w:val="auto"/>
              </w:rPr>
            </w:pPr>
          </w:p>
        </w:tc>
        <w:tc>
          <w:tcPr>
            <w:tcW w:w="4540" w:type="dxa"/>
            <w:vAlign w:val="bottom"/>
            <w:tcBorders>
              <w:bottom w:val="single" w:sz="8" w:color="auto"/>
              <w:right w:val="single" w:sz="8" w:color="auto"/>
            </w:tcBorders>
          </w:tcPr>
          <w:p>
            <w:pPr>
              <w:spacing w:after="0"/>
              <w:rPr>
                <w:sz w:val="19"/>
                <w:szCs w:val="19"/>
                <w:color w:val="auto"/>
              </w:rPr>
            </w:pPr>
          </w:p>
        </w:tc>
        <w:tc>
          <w:tcPr>
            <w:tcW w:w="3020" w:type="dxa"/>
            <w:vAlign w:val="bottom"/>
            <w:tcBorders>
              <w:bottom w:val="single" w:sz="8" w:color="auto"/>
              <w:right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660" w:type="dxa"/>
            <w:vAlign w:val="bottom"/>
          </w:tcPr>
          <w:p>
            <w:pPr>
              <w:spacing w:after="0"/>
              <w:rPr>
                <w:sz w:val="19"/>
                <w:szCs w:val="19"/>
                <w:color w:val="auto"/>
              </w:rPr>
            </w:pPr>
          </w:p>
        </w:tc>
      </w:tr>
      <w:tr>
        <w:trPr>
          <w:trHeight w:val="208"/>
        </w:trPr>
        <w:tc>
          <w:tcPr>
            <w:tcW w:w="1160" w:type="dxa"/>
            <w:vAlign w:val="bottom"/>
            <w:tcBorders>
              <w:right w:val="single" w:sz="8" w:color="auto"/>
            </w:tcBorders>
          </w:tcPr>
          <w:p>
            <w:pPr>
              <w:spacing w:after="0"/>
              <w:rPr>
                <w:sz w:val="18"/>
                <w:szCs w:val="18"/>
                <w:color w:val="auto"/>
              </w:rPr>
            </w:pPr>
          </w:p>
        </w:tc>
        <w:tc>
          <w:tcPr>
            <w:tcW w:w="1120" w:type="dxa"/>
            <w:vAlign w:val="bottom"/>
            <w:tcBorders>
              <w:right w:val="single" w:sz="8" w:color="auto"/>
            </w:tcBorders>
          </w:tcPr>
          <w:p>
            <w:pPr>
              <w:ind w:left="220"/>
              <w:spacing w:after="0" w:line="208" w:lineRule="exact"/>
              <w:rPr>
                <w:sz w:val="20"/>
                <w:szCs w:val="20"/>
                <w:color w:val="auto"/>
              </w:rPr>
            </w:pPr>
            <w:r>
              <w:rPr>
                <w:rFonts w:ascii="Arial" w:cs="Arial" w:eastAsia="Arial" w:hAnsi="Arial"/>
                <w:sz w:val="21"/>
                <w:szCs w:val="21"/>
                <w:b w:val="1"/>
                <w:bCs w:val="1"/>
                <w:color w:val="auto"/>
              </w:rPr>
              <w:t>XVI-04</w:t>
            </w:r>
          </w:p>
        </w:tc>
        <w:tc>
          <w:tcPr>
            <w:tcW w:w="4540" w:type="dxa"/>
            <w:vAlign w:val="bottom"/>
            <w:tcBorders>
              <w:right w:val="single" w:sz="8" w:color="auto"/>
            </w:tcBorders>
          </w:tcPr>
          <w:p>
            <w:pPr>
              <w:ind w:left="60"/>
              <w:spacing w:after="0" w:line="208" w:lineRule="exact"/>
              <w:rPr>
                <w:sz w:val="20"/>
                <w:szCs w:val="20"/>
                <w:color w:val="auto"/>
              </w:rPr>
            </w:pPr>
            <w:r>
              <w:rPr>
                <w:rFonts w:ascii="Arial" w:cs="Arial" w:eastAsia="Arial" w:hAnsi="Arial"/>
                <w:sz w:val="21"/>
                <w:szCs w:val="21"/>
                <w:color w:val="auto"/>
              </w:rPr>
              <w:t>Carbono, enxofre, sorbitol, ácido clorídrico,</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2207,2503,2707,2801-37,</w:t>
            </w:r>
          </w:p>
        </w:tc>
        <w:tc>
          <w:tcPr>
            <w:tcW w:w="20" w:type="dxa"/>
            <w:vAlign w:val="bottom"/>
          </w:tcPr>
          <w:p>
            <w:pPr>
              <w:spacing w:after="0"/>
              <w:rPr>
                <w:sz w:val="18"/>
                <w:szCs w:val="18"/>
                <w:color w:val="auto"/>
              </w:rPr>
            </w:pPr>
          </w:p>
        </w:tc>
        <w:tc>
          <w:tcPr>
            <w:tcW w:w="660" w:type="dxa"/>
            <w:vAlign w:val="bottom"/>
          </w:tcPr>
          <w:p>
            <w:pPr>
              <w:spacing w:after="0"/>
              <w:rPr>
                <w:sz w:val="18"/>
                <w:szCs w:val="18"/>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ácido acético e produtos similares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2839-43,2846-50,2852,</w:t>
            </w: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2852.10, 2852.90, 2902,</w:t>
            </w: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2903(Excluding 2903.76 and</w:t>
            </w:r>
          </w:p>
        </w:tc>
        <w:tc>
          <w:tcPr>
            <w:tcW w:w="680" w:type="dxa"/>
            <w:vAlign w:val="bottom"/>
            <w:gridSpan w:val="2"/>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2903.39), 2904- 33, 3307.49,</w:t>
            </w: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3801,3802, 3823, 3824(Excl.</w:t>
            </w:r>
          </w:p>
        </w:tc>
        <w:tc>
          <w:tcPr>
            <w:tcW w:w="680" w:type="dxa"/>
            <w:vAlign w:val="bottom"/>
            <w:gridSpan w:val="2"/>
          </w:tcPr>
          <w:p>
            <w:pPr>
              <w:spacing w:after="0"/>
              <w:rPr>
                <w:sz w:val="20"/>
                <w:szCs w:val="20"/>
                <w:color w:val="auto"/>
              </w:rPr>
            </w:pPr>
          </w:p>
        </w:tc>
      </w:tr>
      <w:tr>
        <w:trPr>
          <w:trHeight w:val="256"/>
        </w:trPr>
        <w:tc>
          <w:tcPr>
            <w:tcW w:w="1160" w:type="dxa"/>
            <w:vAlign w:val="bottom"/>
            <w:tcBorders>
              <w:right w:val="single" w:sz="8" w:color="auto"/>
            </w:tcBorders>
          </w:tcPr>
          <w:p>
            <w:pPr>
              <w:spacing w:after="0"/>
              <w:rPr>
                <w:sz w:val="22"/>
                <w:szCs w:val="22"/>
                <w:color w:val="auto"/>
              </w:rPr>
            </w:pPr>
          </w:p>
        </w:tc>
        <w:tc>
          <w:tcPr>
            <w:tcW w:w="112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tcPr>
          <w:p>
            <w:pPr>
              <w:spacing w:after="0"/>
              <w:rPr>
                <w:sz w:val="22"/>
                <w:szCs w:val="22"/>
                <w:color w:val="auto"/>
              </w:rPr>
            </w:pPr>
          </w:p>
        </w:tc>
        <w:tc>
          <w:tcPr>
            <w:tcW w:w="302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3824.71)</w:t>
            </w:r>
          </w:p>
        </w:tc>
        <w:tc>
          <w:tcPr>
            <w:tcW w:w="20" w:type="dxa"/>
            <w:vAlign w:val="bottom"/>
          </w:tcPr>
          <w:p>
            <w:pPr>
              <w:spacing w:after="0"/>
              <w:rPr>
                <w:sz w:val="22"/>
                <w:szCs w:val="22"/>
                <w:color w:val="auto"/>
              </w:rPr>
            </w:pPr>
          </w:p>
        </w:tc>
        <w:tc>
          <w:tcPr>
            <w:tcW w:w="660" w:type="dxa"/>
            <w:vAlign w:val="bottom"/>
          </w:tcPr>
          <w:p>
            <w:pPr>
              <w:spacing w:after="0"/>
              <w:rPr>
                <w:sz w:val="22"/>
                <w:szCs w:val="22"/>
                <w:color w:val="auto"/>
              </w:rPr>
            </w:pPr>
          </w:p>
        </w:tc>
      </w:tr>
      <w:tr>
        <w:trPr>
          <w:trHeight w:val="208"/>
        </w:trPr>
        <w:tc>
          <w:tcPr>
            <w:tcW w:w="1160" w:type="dxa"/>
            <w:vAlign w:val="bottom"/>
            <w:tcBorders>
              <w:right w:val="single" w:sz="8" w:color="auto"/>
            </w:tcBorders>
          </w:tcPr>
          <w:p>
            <w:pPr>
              <w:spacing w:after="0"/>
              <w:rPr>
                <w:sz w:val="18"/>
                <w:szCs w:val="18"/>
                <w:color w:val="auto"/>
              </w:rPr>
            </w:pPr>
          </w:p>
        </w:tc>
        <w:tc>
          <w:tcPr>
            <w:tcW w:w="1120" w:type="dxa"/>
            <w:vAlign w:val="bottom"/>
            <w:tcBorders>
              <w:right w:val="single" w:sz="8" w:color="auto"/>
            </w:tcBorders>
          </w:tcPr>
          <w:p>
            <w:pPr>
              <w:ind w:left="220"/>
              <w:spacing w:after="0" w:line="208" w:lineRule="exact"/>
              <w:rPr>
                <w:sz w:val="20"/>
                <w:szCs w:val="20"/>
                <w:color w:val="auto"/>
              </w:rPr>
            </w:pPr>
            <w:r>
              <w:rPr>
                <w:rFonts w:ascii="Arial" w:cs="Arial" w:eastAsia="Arial" w:hAnsi="Arial"/>
                <w:sz w:val="21"/>
                <w:szCs w:val="21"/>
                <w:b w:val="1"/>
                <w:bCs w:val="1"/>
                <w:color w:val="auto"/>
              </w:rPr>
              <w:t>XVI-05</w:t>
            </w:r>
          </w:p>
        </w:tc>
        <w:tc>
          <w:tcPr>
            <w:tcW w:w="4540" w:type="dxa"/>
            <w:vAlign w:val="bottom"/>
            <w:tcBorders>
              <w:right w:val="single" w:sz="8" w:color="auto"/>
            </w:tcBorders>
          </w:tcPr>
          <w:p>
            <w:pPr>
              <w:ind w:left="60"/>
              <w:spacing w:after="0" w:line="208" w:lineRule="exact"/>
              <w:rPr>
                <w:sz w:val="20"/>
                <w:szCs w:val="20"/>
                <w:color w:val="auto"/>
              </w:rPr>
            </w:pPr>
            <w:r>
              <w:rPr>
                <w:rFonts w:ascii="Arial" w:cs="Arial" w:eastAsia="Arial" w:hAnsi="Arial"/>
                <w:sz w:val="21"/>
                <w:szCs w:val="21"/>
                <w:color w:val="auto"/>
              </w:rPr>
              <w:t>Inseticidas, rodenticidas, fungicidas e outros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3808.91, 3808.92, 3808.93,</w:t>
            </w:r>
          </w:p>
        </w:tc>
        <w:tc>
          <w:tcPr>
            <w:tcW w:w="20" w:type="dxa"/>
            <w:vAlign w:val="bottom"/>
          </w:tcPr>
          <w:p>
            <w:pPr>
              <w:spacing w:after="0"/>
              <w:rPr>
                <w:sz w:val="18"/>
                <w:szCs w:val="18"/>
                <w:color w:val="auto"/>
              </w:rPr>
            </w:pPr>
          </w:p>
        </w:tc>
        <w:tc>
          <w:tcPr>
            <w:tcW w:w="660" w:type="dxa"/>
            <w:vAlign w:val="bottom"/>
          </w:tcPr>
          <w:p>
            <w:pPr>
              <w:spacing w:after="0"/>
              <w:rPr>
                <w:sz w:val="18"/>
                <w:szCs w:val="18"/>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produtos pesticidas podendo estar na forma</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3808.94, 3808.99</w:t>
            </w: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de líquido, gás, bastões, pó, tiras, etc. incluindo</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os descritos nos códigos HS:</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8"/>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8" w:lineRule="exact"/>
              <w:rPr>
                <w:sz w:val="20"/>
                <w:szCs w:val="20"/>
                <w:color w:val="auto"/>
              </w:rPr>
            </w:pPr>
            <w:r>
              <w:rPr>
                <w:rFonts w:ascii="Arial" w:cs="Arial" w:eastAsia="Arial" w:hAnsi="Arial"/>
                <w:sz w:val="21"/>
                <w:szCs w:val="21"/>
                <w:color w:val="auto"/>
              </w:rPr>
              <w:t>● 3808.91 – 99 - Inseticidas, fungicidas,</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35"/>
        </w:trPr>
        <w:tc>
          <w:tcPr>
            <w:tcW w:w="1160" w:type="dxa"/>
            <w:vAlign w:val="bottom"/>
            <w:tcBorders>
              <w:right w:val="single" w:sz="8" w:color="auto"/>
            </w:tcBorders>
          </w:tcPr>
          <w:p>
            <w:pPr>
              <w:spacing w:after="0"/>
              <w:rPr>
                <w:sz w:val="20"/>
                <w:szCs w:val="20"/>
                <w:color w:val="auto"/>
              </w:rPr>
            </w:pPr>
          </w:p>
        </w:tc>
        <w:tc>
          <w:tcPr>
            <w:tcW w:w="112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tcPr>
          <w:p>
            <w:pPr>
              <w:ind w:left="60"/>
              <w:spacing w:after="0" w:line="235" w:lineRule="exact"/>
              <w:rPr>
                <w:sz w:val="20"/>
                <w:szCs w:val="20"/>
                <w:color w:val="auto"/>
              </w:rPr>
            </w:pPr>
            <w:r>
              <w:rPr>
                <w:rFonts w:ascii="Arial" w:cs="Arial" w:eastAsia="Arial" w:hAnsi="Arial"/>
                <w:sz w:val="21"/>
                <w:szCs w:val="21"/>
                <w:color w:val="auto"/>
              </w:rPr>
              <w:t>herbicidas e desinfetantes</w:t>
            </w:r>
          </w:p>
        </w:tc>
        <w:tc>
          <w:tcPr>
            <w:tcW w:w="3020" w:type="dxa"/>
            <w:vAlign w:val="bottom"/>
            <w:tcBorders>
              <w:right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60" w:type="dxa"/>
            <w:vAlign w:val="bottom"/>
          </w:tcPr>
          <w:p>
            <w:pPr>
              <w:spacing w:after="0"/>
              <w:rPr>
                <w:sz w:val="20"/>
                <w:szCs w:val="2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-431165</wp:posOffset>
            </wp:positionH>
            <wp:positionV relativeFrom="paragraph">
              <wp:posOffset>2880995</wp:posOffset>
            </wp:positionV>
            <wp:extent cx="4763" cy="4763"/>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extLst>
                    </a:blip>
                    <a:srcRect/>
                    <a:stretch>
                      <a:fillRect/>
                    </a:stretch>
                  </pic:blipFill>
                  <pic:spPr bwMode="auto">
                    <a:xfrm>
                      <a:off x="0" y="0"/>
                      <a:ext cx="4763" cy="4763"/>
                    </a:xfrm>
                    <a:prstGeom prst="rect">
                      <a:avLst/>
                    </a:prstGeom>
                    <a:noFill/>
                  </pic:spPr>
                </pic:pic>
              </a:graphicData>
            </a:graphic>
          </wp:anchor>
        </w:drawing>
      </w:r>
    </w:p>
    <w:p>
      <w:pPr>
        <w:sectPr>
          <w:pgSz w:w="11900" w:h="16838" w:orient="portrait"/>
          <w:cols w:equalWidth="0" w:num="1">
            <w:col w:w="10520"/>
          </w:cols>
          <w:pgMar w:left="680" w:top="803" w:right="706" w:bottom="1440" w:gutter="0" w:footer="0" w:header="0"/>
        </w:sectPr>
      </w:pPr>
    </w:p>
    <w:bookmarkStart w:id="27" w:name="page28"/>
    <w:bookmarkEnd w:id="27"/>
    <w:tbl>
      <w:tblPr>
        <w:tblLayout w:type="fixed"/>
        <w:tblInd w:w="0" w:type="dxa"/>
        <w:tblCellMar>
          <w:top w:w="0" w:type="dxa"/>
          <w:left w:w="0" w:type="dxa"/>
          <w:bottom w:w="0" w:type="dxa"/>
          <w:right w:w="0" w:type="dxa"/>
        </w:tblCellMar>
      </w:tblPr>
      <w:tr>
        <w:trPr>
          <w:trHeight w:val="241"/>
        </w:trPr>
        <w:tc>
          <w:tcPr>
            <w:tcW w:w="1180" w:type="dxa"/>
            <w:vAlign w:val="bottom"/>
          </w:tcPr>
          <w:p>
            <w:pPr>
              <w:jc w:val="right"/>
              <w:ind w:right="780"/>
              <w:spacing w:after="0"/>
              <w:rPr>
                <w:sz w:val="20"/>
                <w:szCs w:val="20"/>
                <w:color w:val="auto"/>
              </w:rPr>
            </w:pPr>
            <w:r>
              <w:rPr>
                <w:rFonts w:ascii="Times New Roman" w:cs="Times New Roman" w:eastAsia="Times New Roman" w:hAnsi="Times New Roman"/>
                <w:sz w:val="20"/>
                <w:szCs w:val="20"/>
                <w:color w:val="auto"/>
                <w:w w:val="93"/>
              </w:rPr>
              <w:t>372</w:t>
            </w:r>
          </w:p>
        </w:tc>
        <w:tc>
          <w:tcPr>
            <w:tcW w:w="1080" w:type="dxa"/>
            <w:vAlign w:val="bottom"/>
          </w:tcPr>
          <w:p>
            <w:pPr>
              <w:spacing w:after="0"/>
              <w:rPr>
                <w:sz w:val="20"/>
                <w:szCs w:val="20"/>
                <w:color w:val="auto"/>
              </w:rPr>
            </w:pPr>
          </w:p>
        </w:tc>
        <w:tc>
          <w:tcPr>
            <w:tcW w:w="4560" w:type="dxa"/>
            <w:vAlign w:val="bottom"/>
          </w:tcPr>
          <w:p>
            <w:pPr>
              <w:spacing w:after="0"/>
              <w:rPr>
                <w:sz w:val="20"/>
                <w:szCs w:val="20"/>
                <w:color w:val="auto"/>
              </w:rPr>
            </w:pPr>
          </w:p>
        </w:tc>
        <w:tc>
          <w:tcPr>
            <w:tcW w:w="3700" w:type="dxa"/>
            <w:vAlign w:val="bottom"/>
            <w:gridSpan w:val="2"/>
          </w:tcPr>
          <w:p>
            <w:pPr>
              <w:ind w:left="1640"/>
              <w:spacing w:after="0"/>
              <w:rPr>
                <w:sz w:val="20"/>
                <w:szCs w:val="20"/>
                <w:color w:val="auto"/>
              </w:rPr>
            </w:pPr>
            <w:r>
              <w:rPr>
                <w:rFonts w:ascii="Times New Roman" w:cs="Times New Roman" w:eastAsia="Times New Roman" w:hAnsi="Times New Roman"/>
                <w:sz w:val="20"/>
                <w:szCs w:val="20"/>
                <w:i w:val="1"/>
                <w:iCs w:val="1"/>
                <w:color w:val="auto"/>
              </w:rPr>
              <w:t>I SÉRIE — NÚMERO 50</w:t>
            </w:r>
          </w:p>
        </w:tc>
        <w:tc>
          <w:tcPr>
            <w:tcW w:w="0" w:type="dxa"/>
            <w:vAlign w:val="bottom"/>
          </w:tcPr>
          <w:p>
            <w:pPr>
              <w:spacing w:after="0"/>
              <w:rPr>
                <w:sz w:val="1"/>
                <w:szCs w:val="1"/>
                <w:color w:val="auto"/>
              </w:rPr>
            </w:pPr>
          </w:p>
        </w:tc>
      </w:tr>
      <w:tr>
        <w:trPr>
          <w:trHeight w:val="40"/>
        </w:trPr>
        <w:tc>
          <w:tcPr>
            <w:tcW w:w="1180" w:type="dxa"/>
            <w:vAlign w:val="bottom"/>
            <w:tcBorders>
              <w:bottom w:val="single" w:sz="8" w:color="auto"/>
            </w:tcBorders>
          </w:tcPr>
          <w:p>
            <w:pPr>
              <w:spacing w:after="0"/>
              <w:rPr>
                <w:sz w:val="3"/>
                <w:szCs w:val="3"/>
                <w:color w:val="auto"/>
              </w:rPr>
            </w:pPr>
          </w:p>
        </w:tc>
        <w:tc>
          <w:tcPr>
            <w:tcW w:w="1080" w:type="dxa"/>
            <w:vAlign w:val="bottom"/>
            <w:tcBorders>
              <w:bottom w:val="single" w:sz="8" w:color="auto"/>
            </w:tcBorders>
          </w:tcPr>
          <w:p>
            <w:pPr>
              <w:spacing w:after="0"/>
              <w:rPr>
                <w:sz w:val="3"/>
                <w:szCs w:val="3"/>
                <w:color w:val="auto"/>
              </w:rPr>
            </w:pPr>
          </w:p>
        </w:tc>
        <w:tc>
          <w:tcPr>
            <w:tcW w:w="4560" w:type="dxa"/>
            <w:vAlign w:val="bottom"/>
            <w:tcBorders>
              <w:bottom w:val="single" w:sz="8" w:color="auto"/>
            </w:tcBorders>
          </w:tcPr>
          <w:p>
            <w:pPr>
              <w:spacing w:after="0"/>
              <w:rPr>
                <w:sz w:val="3"/>
                <w:szCs w:val="3"/>
                <w:color w:val="auto"/>
              </w:rPr>
            </w:pPr>
          </w:p>
        </w:tc>
        <w:tc>
          <w:tcPr>
            <w:tcW w:w="302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96"/>
        </w:trPr>
        <w:tc>
          <w:tcPr>
            <w:tcW w:w="118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ind w:left="200"/>
              <w:spacing w:after="0" w:line="209" w:lineRule="exact"/>
              <w:rPr>
                <w:sz w:val="20"/>
                <w:szCs w:val="20"/>
                <w:color w:val="auto"/>
              </w:rPr>
            </w:pPr>
            <w:r>
              <w:rPr>
                <w:rFonts w:ascii="Arial" w:cs="Arial" w:eastAsia="Arial" w:hAnsi="Arial"/>
                <w:sz w:val="21"/>
                <w:szCs w:val="21"/>
                <w:b w:val="1"/>
                <w:bCs w:val="1"/>
                <w:color w:val="auto"/>
              </w:rPr>
              <w:t>XVI-06</w:t>
            </w:r>
          </w:p>
        </w:tc>
        <w:tc>
          <w:tcPr>
            <w:tcW w:w="456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Tintas, extractos de bronzeamento, mástiques,</w:t>
            </w:r>
          </w:p>
        </w:tc>
        <w:tc>
          <w:tcPr>
            <w:tcW w:w="3020" w:type="dxa"/>
            <w:vAlign w:val="bottom"/>
            <w:tcBorders>
              <w:right w:val="single" w:sz="8" w:color="auto"/>
            </w:tcBorders>
          </w:tcPr>
          <w:p>
            <w:pPr>
              <w:ind w:left="80"/>
              <w:spacing w:after="0" w:line="209" w:lineRule="exact"/>
              <w:rPr>
                <w:sz w:val="20"/>
                <w:szCs w:val="20"/>
                <w:color w:val="auto"/>
              </w:rPr>
            </w:pPr>
            <w:r>
              <w:rPr>
                <w:rFonts w:ascii="Arial" w:cs="Arial" w:eastAsia="Arial" w:hAnsi="Arial"/>
                <w:sz w:val="21"/>
                <w:szCs w:val="21"/>
                <w:color w:val="auto"/>
              </w:rPr>
              <w:t>3201, 3202, 3203, 3204, 3205,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secantes preparados e produtos semelhantes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3206, 3207, 3208, 3209, 3210,</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incluindo, os quimicamente modificados,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3211, 3212, 3214</w:t>
            </w: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dispersos ou dissolvidos em meio aquoso e 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descritos nos códigos HS: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3210 - Outras tintas e vernizes (incluíndo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esmaltes, lacas e destemperas);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3211 - Secadores preparados.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3212 - Pigmentos (Incluindo pós e flocos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metálicos) dispersos em meios não aquosos,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na forma líquida ou de pasta, dos tipos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utilizados na fabricação de tintas (Incluindo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esmaltes); folhas de estampagem; corantes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 outras matérias corantes em formas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ou embalagens para venda a retalho.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 3214 - Massa para vidraceiros, massa para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enxerto, cimentos de resina, compostos de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calafetagem e outras massas; Recheios para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pintores; Preparações de revestimento não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refractário para fachadas, paredes internas,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80" w:type="dxa"/>
            <w:vAlign w:val="bottom"/>
            <w:tcBorders>
              <w:right w:val="single" w:sz="8" w:color="auto"/>
            </w:tcBorders>
          </w:tcPr>
          <w:p>
            <w:pPr>
              <w:spacing w:after="0"/>
              <w:rPr>
                <w:sz w:val="22"/>
                <w:szCs w:val="22"/>
                <w:color w:val="auto"/>
              </w:rPr>
            </w:pPr>
          </w:p>
        </w:tc>
        <w:tc>
          <w:tcPr>
            <w:tcW w:w="1080" w:type="dxa"/>
            <w:vAlign w:val="bottom"/>
            <w:tcBorders>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pisos, teto, etc.</w:t>
            </w:r>
          </w:p>
        </w:tc>
        <w:tc>
          <w:tcPr>
            <w:tcW w:w="3020" w:type="dxa"/>
            <w:vAlign w:val="bottom"/>
            <w:tcBorders>
              <w:bottom w:val="single" w:sz="8" w:color="auto"/>
              <w:right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8"/>
        </w:trPr>
        <w:tc>
          <w:tcPr>
            <w:tcW w:w="1180" w:type="dxa"/>
            <w:vAlign w:val="bottom"/>
            <w:tcBorders>
              <w:right w:val="single" w:sz="8" w:color="auto"/>
            </w:tcBorders>
          </w:tcPr>
          <w:p>
            <w:pPr>
              <w:spacing w:after="0"/>
              <w:rPr>
                <w:sz w:val="18"/>
                <w:szCs w:val="18"/>
                <w:color w:val="auto"/>
              </w:rPr>
            </w:pPr>
          </w:p>
        </w:tc>
        <w:tc>
          <w:tcPr>
            <w:tcW w:w="1080" w:type="dxa"/>
            <w:vAlign w:val="bottom"/>
            <w:tcBorders>
              <w:right w:val="single" w:sz="8" w:color="auto"/>
            </w:tcBorders>
          </w:tcPr>
          <w:p>
            <w:pPr>
              <w:spacing w:after="0"/>
              <w:rPr>
                <w:sz w:val="18"/>
                <w:szCs w:val="18"/>
                <w:color w:val="auto"/>
              </w:rPr>
            </w:pP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Óleos e graxas lubrificantes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2710, 2713</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Óleos lubrificantes para motores de combustão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interna de acordo com uma classificação API,</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óleos de base mineral parafínica, fluídos de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freio à base de petróleo para sistemas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hidráulicos, lubrificantes, óleos industriais 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produtos relacionados (classe L) –Família 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(óleos de motor de combustão interna) –</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Especificações de óleos para uso em motores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 gasolina de quatro tempos e trens de força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associados, óleos lubrificantes de</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engrenagens, óleos hidráulicos HLP, graxas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automotivas, fluidos para aplicações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vMerge w:val="restart"/>
          </w:tcPr>
          <w:p>
            <w:pPr>
              <w:ind w:left="200"/>
              <w:spacing w:after="0"/>
              <w:rPr>
                <w:sz w:val="20"/>
                <w:szCs w:val="20"/>
                <w:color w:val="auto"/>
              </w:rPr>
            </w:pPr>
            <w:r>
              <w:rPr>
                <w:rFonts w:ascii="Arial" w:cs="Arial" w:eastAsia="Arial" w:hAnsi="Arial"/>
                <w:sz w:val="21"/>
                <w:szCs w:val="21"/>
                <w:b w:val="1"/>
                <w:bCs w:val="1"/>
                <w:color w:val="auto"/>
              </w:rPr>
              <w:t>XVI -07</w:t>
            </w: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eletrotécnicas - óleos minerais não usados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vMerge w:val="continue"/>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para transformadores e aparelhagens, óleos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lubrificantes para ar, compressores e bombas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de vácuo, óleos lubrificantes minerais usados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em turbinas a vapor e a gás, lubrificantes para</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compressores refrigerantes, óleos lubrificantes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CLP usados em sistemas de lubrificação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circular e por respingo, fluído de transmissão</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80" w:type="dxa"/>
            <w:vAlign w:val="bottom"/>
            <w:tcBorders>
              <w:right w:val="single" w:sz="8" w:color="auto"/>
            </w:tcBorders>
          </w:tcPr>
          <w:p>
            <w:pPr>
              <w:spacing w:after="0"/>
              <w:rPr>
                <w:sz w:val="20"/>
                <w:szCs w:val="20"/>
                <w:color w:val="auto"/>
              </w:rPr>
            </w:pPr>
          </w:p>
        </w:tc>
        <w:tc>
          <w:tcPr>
            <w:tcW w:w="1080" w:type="dxa"/>
            <w:vAlign w:val="bottom"/>
            <w:tcBorders>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automática e óleos lubrificantes para motores</w:t>
            </w:r>
          </w:p>
        </w:tc>
        <w:tc>
          <w:tcPr>
            <w:tcW w:w="3020" w:type="dxa"/>
            <w:vAlign w:val="bottom"/>
            <w:tcBorders>
              <w:right w:val="single" w:sz="8" w:color="auto"/>
            </w:tcBorders>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4"/>
        </w:trPr>
        <w:tc>
          <w:tcPr>
            <w:tcW w:w="1180" w:type="dxa"/>
            <w:vAlign w:val="bottom"/>
            <w:tcBorders>
              <w:right w:val="single" w:sz="8" w:color="auto"/>
            </w:tcBorders>
          </w:tcPr>
          <w:p>
            <w:pPr>
              <w:spacing w:after="0"/>
              <w:rPr>
                <w:sz w:val="23"/>
                <w:szCs w:val="23"/>
                <w:color w:val="auto"/>
              </w:rPr>
            </w:pPr>
          </w:p>
        </w:tc>
        <w:tc>
          <w:tcPr>
            <w:tcW w:w="1080" w:type="dxa"/>
            <w:vAlign w:val="bottom"/>
            <w:tcBorders>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de dois tempos</w:t>
            </w:r>
          </w:p>
        </w:tc>
        <w:tc>
          <w:tcPr>
            <w:tcW w:w="3020" w:type="dxa"/>
            <w:vAlign w:val="bottom"/>
            <w:tcBorders>
              <w:right w:val="single" w:sz="8" w:color="auto"/>
            </w:tcBorders>
          </w:tcPr>
          <w:p>
            <w:pPr>
              <w:spacing w:after="0"/>
              <w:rPr>
                <w:sz w:val="23"/>
                <w:szCs w:val="23"/>
                <w:color w:val="auto"/>
              </w:rPr>
            </w:pP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68"/>
        </w:trPr>
        <w:tc>
          <w:tcPr>
            <w:tcW w:w="1180" w:type="dxa"/>
            <w:vAlign w:val="bottom"/>
            <w:tcBorders>
              <w:right w:val="single" w:sz="8" w:color="auto"/>
            </w:tcBorders>
          </w:tcPr>
          <w:p>
            <w:pPr>
              <w:spacing w:after="0"/>
              <w:rPr>
                <w:sz w:val="5"/>
                <w:szCs w:val="5"/>
                <w:color w:val="auto"/>
              </w:rPr>
            </w:pPr>
          </w:p>
        </w:tc>
        <w:tc>
          <w:tcPr>
            <w:tcW w:w="1080" w:type="dxa"/>
            <w:vAlign w:val="bottom"/>
            <w:tcBorders>
              <w:right w:val="single" w:sz="8" w:color="auto"/>
            </w:tcBorders>
          </w:tcPr>
          <w:p>
            <w:pPr>
              <w:spacing w:after="0"/>
              <w:rPr>
                <w:sz w:val="5"/>
                <w:szCs w:val="5"/>
                <w:color w:val="auto"/>
              </w:rPr>
            </w:pPr>
          </w:p>
        </w:tc>
        <w:tc>
          <w:tcPr>
            <w:tcW w:w="4560" w:type="dxa"/>
            <w:vAlign w:val="bottom"/>
            <w:tcBorders>
              <w:right w:val="single" w:sz="8" w:color="auto"/>
            </w:tcBorders>
          </w:tcPr>
          <w:p>
            <w:pPr>
              <w:spacing w:after="0"/>
              <w:rPr>
                <w:sz w:val="5"/>
                <w:szCs w:val="5"/>
                <w:color w:val="auto"/>
              </w:rPr>
            </w:pPr>
          </w:p>
        </w:tc>
        <w:tc>
          <w:tcPr>
            <w:tcW w:w="3020" w:type="dxa"/>
            <w:vAlign w:val="bottom"/>
            <w:tcBorders>
              <w:right w:val="single" w:sz="8" w:color="auto"/>
            </w:tcBorders>
          </w:tcPr>
          <w:p>
            <w:pPr>
              <w:spacing w:after="0"/>
              <w:rPr>
                <w:sz w:val="5"/>
                <w:szCs w:val="5"/>
                <w:color w:val="auto"/>
              </w:rPr>
            </w:pPr>
          </w:p>
        </w:tc>
        <w:tc>
          <w:tcPr>
            <w:tcW w:w="680" w:type="dxa"/>
            <w:vAlign w:val="bottom"/>
          </w:tcPr>
          <w:p>
            <w:pPr>
              <w:spacing w:after="0"/>
              <w:rPr>
                <w:sz w:val="5"/>
                <w:szCs w:val="5"/>
                <w:color w:val="auto"/>
              </w:rPr>
            </w:pPr>
          </w:p>
        </w:tc>
        <w:tc>
          <w:tcPr>
            <w:tcW w:w="0" w:type="dxa"/>
            <w:vAlign w:val="bottom"/>
          </w:tcPr>
          <w:p>
            <w:pPr>
              <w:spacing w:after="0"/>
              <w:rPr>
                <w:sz w:val="1"/>
                <w:szCs w:val="1"/>
                <w:color w:val="auto"/>
              </w:rPr>
            </w:pPr>
          </w:p>
        </w:tc>
      </w:tr>
    </w:tbl>
    <w:p>
      <w:pPr>
        <w:sectPr>
          <w:pgSz w:w="11900" w:h="16838" w:orient="portrait"/>
          <w:cols w:equalWidth="0" w:num="1">
            <w:col w:w="10520"/>
          </w:cols>
          <w:pgMar w:left="680" w:top="803" w:right="706" w:bottom="1440" w:gutter="0" w:footer="0" w:header="0"/>
        </w:sectPr>
      </w:pPr>
    </w:p>
    <w:bookmarkStart w:id="28" w:name="page29"/>
    <w:bookmarkEnd w:id="28"/>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760" w:type="dxa"/>
            <w:vAlign w:val="bottom"/>
            <w:gridSpan w:val="3"/>
          </w:tcPr>
          <w:p>
            <w:pPr>
              <w:spacing w:after="0"/>
              <w:rPr>
                <w:sz w:val="20"/>
                <w:szCs w:val="20"/>
                <w:color w:val="auto"/>
              </w:rPr>
            </w:pPr>
            <w:r>
              <w:rPr>
                <w:rFonts w:ascii="Times New Roman" w:cs="Times New Roman" w:eastAsia="Times New Roman" w:hAnsi="Times New Roman"/>
                <w:sz w:val="20"/>
                <w:szCs w:val="20"/>
                <w:i w:val="1"/>
                <w:iCs w:val="1"/>
                <w:color w:val="auto"/>
              </w:rPr>
              <w:t>14 DE MARÇO DE 2022</w:t>
            </w:r>
          </w:p>
        </w:tc>
        <w:tc>
          <w:tcPr>
            <w:tcW w:w="3760" w:type="dxa"/>
            <w:vAlign w:val="bottom"/>
            <w:gridSpan w:val="2"/>
          </w:tcPr>
          <w:p>
            <w:pPr>
              <w:ind w:left="3460"/>
              <w:spacing w:after="0"/>
              <w:rPr>
                <w:sz w:val="20"/>
                <w:szCs w:val="20"/>
                <w:color w:val="auto"/>
              </w:rPr>
            </w:pPr>
            <w:r>
              <w:rPr>
                <w:rFonts w:ascii="Times New Roman" w:cs="Times New Roman" w:eastAsia="Times New Roman" w:hAnsi="Times New Roman"/>
                <w:sz w:val="20"/>
                <w:szCs w:val="20"/>
                <w:color w:val="auto"/>
                <w:w w:val="93"/>
              </w:rPr>
              <w:t>373</w:t>
            </w:r>
          </w:p>
        </w:tc>
        <w:tc>
          <w:tcPr>
            <w:tcW w:w="0" w:type="dxa"/>
            <w:vAlign w:val="bottom"/>
          </w:tcPr>
          <w:p>
            <w:pPr>
              <w:spacing w:after="0"/>
              <w:rPr>
                <w:sz w:val="1"/>
                <w:szCs w:val="1"/>
                <w:color w:val="auto"/>
              </w:rPr>
            </w:pPr>
          </w:p>
        </w:tc>
      </w:tr>
      <w:tr>
        <w:trPr>
          <w:trHeight w:val="40"/>
        </w:trPr>
        <w:tc>
          <w:tcPr>
            <w:tcW w:w="1160" w:type="dxa"/>
            <w:vAlign w:val="bottom"/>
            <w:tcBorders>
              <w:bottom w:val="single" w:sz="8" w:color="auto"/>
            </w:tcBorders>
          </w:tcPr>
          <w:p>
            <w:pPr>
              <w:spacing w:after="0"/>
              <w:rPr>
                <w:sz w:val="3"/>
                <w:szCs w:val="3"/>
                <w:color w:val="auto"/>
              </w:rPr>
            </w:pPr>
          </w:p>
        </w:tc>
        <w:tc>
          <w:tcPr>
            <w:tcW w:w="1020" w:type="dxa"/>
            <w:vAlign w:val="bottom"/>
            <w:tcBorders>
              <w:bottom w:val="single" w:sz="8" w:color="auto"/>
            </w:tcBorders>
          </w:tcPr>
          <w:p>
            <w:pPr>
              <w:spacing w:after="0"/>
              <w:rPr>
                <w:sz w:val="3"/>
                <w:szCs w:val="3"/>
                <w:color w:val="auto"/>
              </w:rPr>
            </w:pPr>
          </w:p>
        </w:tc>
        <w:tc>
          <w:tcPr>
            <w:tcW w:w="4580" w:type="dxa"/>
            <w:vAlign w:val="bottom"/>
            <w:tcBorders>
              <w:bottom w:val="single" w:sz="8" w:color="auto"/>
            </w:tcBorders>
          </w:tcPr>
          <w:p>
            <w:pPr>
              <w:spacing w:after="0"/>
              <w:rPr>
                <w:sz w:val="3"/>
                <w:szCs w:val="3"/>
                <w:color w:val="auto"/>
              </w:rPr>
            </w:pPr>
          </w:p>
        </w:tc>
        <w:tc>
          <w:tcPr>
            <w:tcW w:w="3080" w:type="dxa"/>
            <w:vAlign w:val="bottom"/>
            <w:tcBorders>
              <w:bottom w:val="single" w:sz="8" w:color="auto"/>
            </w:tcBorders>
          </w:tcPr>
          <w:p>
            <w:pPr>
              <w:spacing w:after="0"/>
              <w:rPr>
                <w:sz w:val="3"/>
                <w:szCs w:val="3"/>
                <w:color w:val="auto"/>
              </w:rPr>
            </w:pPr>
          </w:p>
        </w:tc>
        <w:tc>
          <w:tcPr>
            <w:tcW w:w="68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07"/>
        </w:trPr>
        <w:tc>
          <w:tcPr>
            <w:tcW w:w="1160" w:type="dxa"/>
            <w:vAlign w:val="bottom"/>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4580" w:type="dxa"/>
            <w:vAlign w:val="bottom"/>
            <w:tcBorders>
              <w:bottom w:val="single" w:sz="8" w:color="auto"/>
            </w:tcBorders>
          </w:tcPr>
          <w:p>
            <w:pPr>
              <w:spacing w:after="0"/>
              <w:rPr>
                <w:sz w:val="24"/>
                <w:szCs w:val="24"/>
                <w:color w:val="auto"/>
              </w:rPr>
            </w:pPr>
          </w:p>
        </w:tc>
        <w:tc>
          <w:tcPr>
            <w:tcW w:w="3080" w:type="dxa"/>
            <w:vAlign w:val="bottom"/>
            <w:tcBorders>
              <w:bottom w:val="single" w:sz="8" w:color="auto"/>
            </w:tcBorders>
          </w:tcPr>
          <w:p>
            <w:pPr>
              <w:spacing w:after="0"/>
              <w:rPr>
                <w:sz w:val="24"/>
                <w:szCs w:val="24"/>
                <w:color w:val="auto"/>
              </w:rPr>
            </w:pPr>
          </w:p>
        </w:tc>
        <w:tc>
          <w:tcPr>
            <w:tcW w:w="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1160" w:type="dxa"/>
            <w:vAlign w:val="bottom"/>
          </w:tcPr>
          <w:p>
            <w:pPr>
              <w:spacing w:after="0"/>
              <w:rPr>
                <w:sz w:val="18"/>
                <w:szCs w:val="18"/>
                <w:color w:val="auto"/>
              </w:rPr>
            </w:pPr>
          </w:p>
        </w:tc>
        <w:tc>
          <w:tcPr>
            <w:tcW w:w="1020" w:type="dxa"/>
            <w:vAlign w:val="bottom"/>
          </w:tcPr>
          <w:p>
            <w:pPr>
              <w:ind w:left="220"/>
              <w:spacing w:after="0" w:line="209" w:lineRule="exact"/>
              <w:rPr>
                <w:sz w:val="20"/>
                <w:szCs w:val="20"/>
                <w:color w:val="auto"/>
              </w:rPr>
            </w:pPr>
            <w:r>
              <w:rPr>
                <w:rFonts w:ascii="Arial" w:cs="Arial" w:eastAsia="Arial" w:hAnsi="Arial"/>
                <w:sz w:val="21"/>
                <w:szCs w:val="21"/>
                <w:b w:val="1"/>
                <w:bCs w:val="1"/>
                <w:color w:val="auto"/>
              </w:rPr>
              <w:t>XVI-08</w:t>
            </w:r>
          </w:p>
        </w:tc>
        <w:tc>
          <w:tcPr>
            <w:tcW w:w="4580" w:type="dxa"/>
            <w:vAlign w:val="bottom"/>
          </w:tcPr>
          <w:p>
            <w:pPr>
              <w:ind w:left="160"/>
              <w:spacing w:after="0" w:line="209" w:lineRule="exact"/>
              <w:rPr>
                <w:sz w:val="20"/>
                <w:szCs w:val="20"/>
                <w:color w:val="auto"/>
              </w:rPr>
            </w:pPr>
            <w:r>
              <w:rPr>
                <w:rFonts w:ascii="Arial" w:cs="Arial" w:eastAsia="Arial" w:hAnsi="Arial"/>
                <w:sz w:val="21"/>
                <w:szCs w:val="21"/>
                <w:color w:val="auto"/>
              </w:rPr>
              <w:t>Diluentes, solventes compostos orgânicos,</w:t>
            </w:r>
          </w:p>
        </w:tc>
        <w:tc>
          <w:tcPr>
            <w:tcW w:w="3080" w:type="dxa"/>
            <w:vAlign w:val="bottom"/>
          </w:tcPr>
          <w:p>
            <w:pPr>
              <w:ind w:left="140"/>
              <w:spacing w:after="0" w:line="209" w:lineRule="exact"/>
              <w:rPr>
                <w:sz w:val="20"/>
                <w:szCs w:val="20"/>
                <w:color w:val="auto"/>
              </w:rPr>
            </w:pPr>
            <w:r>
              <w:rPr>
                <w:rFonts w:ascii="Arial" w:cs="Arial" w:eastAsia="Arial" w:hAnsi="Arial"/>
                <w:sz w:val="21"/>
                <w:szCs w:val="21"/>
                <w:color w:val="auto"/>
              </w:rPr>
              <w:t>3814</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580" w:type="dxa"/>
            <w:vAlign w:val="bottom"/>
          </w:tcPr>
          <w:p>
            <w:pPr>
              <w:ind w:left="160"/>
              <w:spacing w:after="0" w:line="238" w:lineRule="exact"/>
              <w:rPr>
                <w:sz w:val="20"/>
                <w:szCs w:val="20"/>
                <w:color w:val="auto"/>
              </w:rPr>
            </w:pPr>
            <w:r>
              <w:rPr>
                <w:rFonts w:ascii="Arial" w:cs="Arial" w:eastAsia="Arial" w:hAnsi="Arial"/>
                <w:sz w:val="21"/>
                <w:szCs w:val="21"/>
                <w:color w:val="auto"/>
              </w:rPr>
              <w:t>removedor de tinta ou verniz e produtos</w:t>
            </w:r>
          </w:p>
        </w:tc>
        <w:tc>
          <w:tcPr>
            <w:tcW w:w="30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60" w:type="dxa"/>
            <w:vAlign w:val="bottom"/>
          </w:tcPr>
          <w:p>
            <w:pPr>
              <w:spacing w:after="0"/>
              <w:rPr>
                <w:sz w:val="22"/>
                <w:szCs w:val="22"/>
                <w:color w:val="auto"/>
              </w:rPr>
            </w:pPr>
          </w:p>
        </w:tc>
        <w:tc>
          <w:tcPr>
            <w:tcW w:w="1020" w:type="dxa"/>
            <w:vAlign w:val="bottom"/>
            <w:tcBorders>
              <w:bottom w:val="single" w:sz="8" w:color="auto"/>
            </w:tcBorders>
          </w:tcPr>
          <w:p>
            <w:pPr>
              <w:spacing w:after="0"/>
              <w:rPr>
                <w:sz w:val="22"/>
                <w:szCs w:val="22"/>
                <w:color w:val="auto"/>
              </w:rPr>
            </w:pPr>
          </w:p>
        </w:tc>
        <w:tc>
          <w:tcPr>
            <w:tcW w:w="4580" w:type="dxa"/>
            <w:vAlign w:val="bottom"/>
            <w:tcBorders>
              <w:bottom w:val="single" w:sz="8" w:color="auto"/>
            </w:tcBorders>
          </w:tcPr>
          <w:p>
            <w:pPr>
              <w:ind w:left="160"/>
              <w:spacing w:after="0"/>
              <w:rPr>
                <w:sz w:val="20"/>
                <w:szCs w:val="20"/>
                <w:color w:val="auto"/>
              </w:rPr>
            </w:pPr>
            <w:r>
              <w:rPr>
                <w:rFonts w:ascii="Arial" w:cs="Arial" w:eastAsia="Arial" w:hAnsi="Arial"/>
                <w:sz w:val="21"/>
                <w:szCs w:val="21"/>
                <w:color w:val="auto"/>
              </w:rPr>
              <w:t>semelhantes</w:t>
            </w:r>
          </w:p>
        </w:tc>
        <w:tc>
          <w:tcPr>
            <w:tcW w:w="3080" w:type="dxa"/>
            <w:vAlign w:val="bottom"/>
            <w:tcBorders>
              <w:bottom w:val="single" w:sz="8" w:color="auto"/>
            </w:tcBorders>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6"/>
        </w:trPr>
        <w:tc>
          <w:tcPr>
            <w:tcW w:w="1160" w:type="dxa"/>
            <w:vAlign w:val="bottom"/>
          </w:tcPr>
          <w:p>
            <w:pPr>
              <w:spacing w:after="0"/>
              <w:rPr>
                <w:sz w:val="19"/>
                <w:szCs w:val="19"/>
                <w:color w:val="auto"/>
              </w:rPr>
            </w:pPr>
          </w:p>
        </w:tc>
        <w:tc>
          <w:tcPr>
            <w:tcW w:w="1020" w:type="dxa"/>
            <w:vAlign w:val="bottom"/>
            <w:tcBorders>
              <w:bottom w:val="single" w:sz="8" w:color="auto"/>
            </w:tcBorders>
          </w:tcPr>
          <w:p>
            <w:pPr>
              <w:ind w:left="220"/>
              <w:spacing w:after="0" w:line="226" w:lineRule="exact"/>
              <w:rPr>
                <w:sz w:val="20"/>
                <w:szCs w:val="20"/>
                <w:color w:val="auto"/>
              </w:rPr>
            </w:pPr>
            <w:r>
              <w:rPr>
                <w:rFonts w:ascii="Arial" w:cs="Arial" w:eastAsia="Arial" w:hAnsi="Arial"/>
                <w:sz w:val="21"/>
                <w:szCs w:val="21"/>
                <w:b w:val="1"/>
                <w:bCs w:val="1"/>
                <w:color w:val="auto"/>
              </w:rPr>
              <w:t>XVI-09</w:t>
            </w:r>
          </w:p>
        </w:tc>
        <w:tc>
          <w:tcPr>
            <w:tcW w:w="4580" w:type="dxa"/>
            <w:vAlign w:val="bottom"/>
            <w:tcBorders>
              <w:bottom w:val="single" w:sz="8" w:color="auto"/>
            </w:tcBorders>
          </w:tcPr>
          <w:p>
            <w:pPr>
              <w:ind w:left="160"/>
              <w:spacing w:after="0" w:line="226" w:lineRule="exact"/>
              <w:rPr>
                <w:sz w:val="20"/>
                <w:szCs w:val="20"/>
                <w:color w:val="auto"/>
              </w:rPr>
            </w:pPr>
            <w:r>
              <w:rPr>
                <w:rFonts w:ascii="Arial" w:cs="Arial" w:eastAsia="Arial" w:hAnsi="Arial"/>
                <w:sz w:val="21"/>
                <w:szCs w:val="21"/>
                <w:color w:val="auto"/>
              </w:rPr>
              <w:t>Sabonetes para lavandaria e amaciadores</w:t>
            </w:r>
          </w:p>
        </w:tc>
        <w:tc>
          <w:tcPr>
            <w:tcW w:w="3080" w:type="dxa"/>
            <w:vAlign w:val="bottom"/>
            <w:tcBorders>
              <w:bottom w:val="single" w:sz="8" w:color="auto"/>
            </w:tcBorders>
          </w:tcPr>
          <w:p>
            <w:pPr>
              <w:ind w:left="140"/>
              <w:spacing w:after="0" w:line="226" w:lineRule="exact"/>
              <w:rPr>
                <w:sz w:val="20"/>
                <w:szCs w:val="20"/>
                <w:color w:val="auto"/>
              </w:rPr>
            </w:pPr>
            <w:r>
              <w:rPr>
                <w:rFonts w:ascii="Arial" w:cs="Arial" w:eastAsia="Arial" w:hAnsi="Arial"/>
                <w:sz w:val="21"/>
                <w:szCs w:val="21"/>
                <w:color w:val="auto"/>
              </w:rPr>
              <w:t>3401.19, 3402</w:t>
            </w: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1160" w:type="dxa"/>
            <w:vAlign w:val="bottom"/>
          </w:tcPr>
          <w:p>
            <w:pPr>
              <w:spacing w:after="0"/>
              <w:rPr>
                <w:sz w:val="18"/>
                <w:szCs w:val="18"/>
                <w:color w:val="auto"/>
              </w:rPr>
            </w:pPr>
          </w:p>
        </w:tc>
        <w:tc>
          <w:tcPr>
            <w:tcW w:w="1020" w:type="dxa"/>
            <w:vAlign w:val="bottom"/>
          </w:tcPr>
          <w:p>
            <w:pPr>
              <w:ind w:left="220"/>
              <w:spacing w:after="0" w:line="208" w:lineRule="exact"/>
              <w:rPr>
                <w:sz w:val="20"/>
                <w:szCs w:val="20"/>
                <w:color w:val="auto"/>
              </w:rPr>
            </w:pPr>
            <w:r>
              <w:rPr>
                <w:rFonts w:ascii="Arial" w:cs="Arial" w:eastAsia="Arial" w:hAnsi="Arial"/>
                <w:sz w:val="21"/>
                <w:szCs w:val="21"/>
                <w:b w:val="1"/>
                <w:bCs w:val="1"/>
                <w:color w:val="auto"/>
              </w:rPr>
              <w:t>XVI-10</w:t>
            </w:r>
          </w:p>
        </w:tc>
        <w:tc>
          <w:tcPr>
            <w:tcW w:w="4580" w:type="dxa"/>
            <w:vAlign w:val="bottom"/>
          </w:tcPr>
          <w:p>
            <w:pPr>
              <w:ind w:left="160"/>
              <w:spacing w:after="0" w:line="208" w:lineRule="exact"/>
              <w:rPr>
                <w:sz w:val="20"/>
                <w:szCs w:val="20"/>
                <w:color w:val="auto"/>
              </w:rPr>
            </w:pPr>
            <w:r>
              <w:rPr>
                <w:rFonts w:ascii="Arial" w:cs="Arial" w:eastAsia="Arial" w:hAnsi="Arial"/>
                <w:sz w:val="21"/>
                <w:szCs w:val="21"/>
                <w:color w:val="auto"/>
              </w:rPr>
              <w:t>Fósforos, fogos de artifício, brinquedos</w:t>
            </w:r>
          </w:p>
        </w:tc>
        <w:tc>
          <w:tcPr>
            <w:tcW w:w="3080" w:type="dxa"/>
            <w:vAlign w:val="bottom"/>
          </w:tcPr>
          <w:p>
            <w:pPr>
              <w:ind w:left="140"/>
              <w:spacing w:after="0" w:line="208" w:lineRule="exact"/>
              <w:rPr>
                <w:sz w:val="20"/>
                <w:szCs w:val="20"/>
                <w:color w:val="auto"/>
              </w:rPr>
            </w:pPr>
            <w:r>
              <w:rPr>
                <w:rFonts w:ascii="Arial" w:cs="Arial" w:eastAsia="Arial" w:hAnsi="Arial"/>
                <w:sz w:val="21"/>
                <w:szCs w:val="21"/>
                <w:color w:val="auto"/>
              </w:rPr>
              <w:t>3604.10, 3604.90,3605</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580" w:type="dxa"/>
            <w:vAlign w:val="bottom"/>
          </w:tcPr>
          <w:p>
            <w:pPr>
              <w:ind w:left="160"/>
              <w:spacing w:after="0" w:line="238" w:lineRule="exact"/>
              <w:rPr>
                <w:sz w:val="20"/>
                <w:szCs w:val="20"/>
                <w:color w:val="auto"/>
              </w:rPr>
            </w:pPr>
            <w:r>
              <w:rPr>
                <w:rFonts w:ascii="Arial" w:cs="Arial" w:eastAsia="Arial" w:hAnsi="Arial"/>
                <w:sz w:val="21"/>
                <w:szCs w:val="21"/>
                <w:color w:val="auto"/>
              </w:rPr>
              <w:t>pirotécnicos, sinalização sonora ou luminosa</w:t>
            </w:r>
          </w:p>
        </w:tc>
        <w:tc>
          <w:tcPr>
            <w:tcW w:w="30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4"/>
        </w:trPr>
        <w:tc>
          <w:tcPr>
            <w:tcW w:w="1160" w:type="dxa"/>
            <w:vAlign w:val="bottom"/>
          </w:tcPr>
          <w:p>
            <w:pPr>
              <w:spacing w:after="0"/>
              <w:rPr>
                <w:sz w:val="23"/>
                <w:szCs w:val="23"/>
                <w:color w:val="auto"/>
              </w:rPr>
            </w:pPr>
          </w:p>
        </w:tc>
        <w:tc>
          <w:tcPr>
            <w:tcW w:w="1020" w:type="dxa"/>
            <w:vAlign w:val="bottom"/>
          </w:tcPr>
          <w:p>
            <w:pPr>
              <w:spacing w:after="0"/>
              <w:rPr>
                <w:sz w:val="23"/>
                <w:szCs w:val="23"/>
                <w:color w:val="auto"/>
              </w:rPr>
            </w:pPr>
          </w:p>
        </w:tc>
        <w:tc>
          <w:tcPr>
            <w:tcW w:w="4580" w:type="dxa"/>
            <w:vAlign w:val="bottom"/>
          </w:tcPr>
          <w:p>
            <w:pPr>
              <w:ind w:left="160"/>
              <w:spacing w:after="0"/>
              <w:rPr>
                <w:sz w:val="20"/>
                <w:szCs w:val="20"/>
                <w:color w:val="auto"/>
              </w:rPr>
            </w:pPr>
            <w:r>
              <w:rPr>
                <w:rFonts w:ascii="Arial" w:cs="Arial" w:eastAsia="Arial" w:hAnsi="Arial"/>
                <w:sz w:val="21"/>
                <w:szCs w:val="21"/>
                <w:color w:val="auto"/>
              </w:rPr>
              <w:t>e produtos semelhantes</w:t>
            </w:r>
          </w:p>
        </w:tc>
        <w:tc>
          <w:tcPr>
            <w:tcW w:w="3080" w:type="dxa"/>
            <w:vAlign w:val="bottom"/>
          </w:tcPr>
          <w:p>
            <w:pPr>
              <w:spacing w:after="0"/>
              <w:rPr>
                <w:sz w:val="23"/>
                <w:szCs w:val="23"/>
                <w:color w:val="auto"/>
              </w:rPr>
            </w:pPr>
          </w:p>
        </w:tc>
        <w:tc>
          <w:tcPr>
            <w:tcW w:w="6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19"/>
        </w:trPr>
        <w:tc>
          <w:tcPr>
            <w:tcW w:w="1160" w:type="dxa"/>
            <w:vAlign w:val="bottom"/>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4580" w:type="dxa"/>
            <w:vAlign w:val="bottom"/>
            <w:tcBorders>
              <w:bottom w:val="single" w:sz="8" w:color="auto"/>
            </w:tcBorders>
          </w:tcPr>
          <w:p>
            <w:pPr>
              <w:spacing w:after="0"/>
              <w:rPr>
                <w:sz w:val="19"/>
                <w:szCs w:val="19"/>
                <w:color w:val="auto"/>
              </w:rPr>
            </w:pPr>
          </w:p>
        </w:tc>
        <w:tc>
          <w:tcPr>
            <w:tcW w:w="3080" w:type="dxa"/>
            <w:vAlign w:val="bottom"/>
            <w:tcBorders>
              <w:bottom w:val="single" w:sz="8" w:color="auto"/>
            </w:tcBorders>
          </w:tcPr>
          <w:p>
            <w:pPr>
              <w:spacing w:after="0"/>
              <w:rPr>
                <w:sz w:val="19"/>
                <w:szCs w:val="19"/>
                <w:color w:val="auto"/>
              </w:rPr>
            </w:pPr>
          </w:p>
        </w:tc>
        <w:tc>
          <w:tcPr>
            <w:tcW w:w="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160" w:type="dxa"/>
            <w:vAlign w:val="bottom"/>
          </w:tcPr>
          <w:p>
            <w:pPr>
              <w:spacing w:after="0"/>
              <w:rPr>
                <w:sz w:val="18"/>
                <w:szCs w:val="18"/>
                <w:color w:val="auto"/>
              </w:rPr>
            </w:pPr>
          </w:p>
        </w:tc>
        <w:tc>
          <w:tcPr>
            <w:tcW w:w="1020" w:type="dxa"/>
            <w:vAlign w:val="bottom"/>
            <w:vMerge w:val="restart"/>
          </w:tcPr>
          <w:p>
            <w:pPr>
              <w:ind w:left="220"/>
              <w:spacing w:after="0"/>
              <w:rPr>
                <w:sz w:val="20"/>
                <w:szCs w:val="20"/>
                <w:color w:val="auto"/>
              </w:rPr>
            </w:pPr>
            <w:r>
              <w:rPr>
                <w:rFonts w:ascii="Arial" w:cs="Arial" w:eastAsia="Arial" w:hAnsi="Arial"/>
                <w:sz w:val="21"/>
                <w:szCs w:val="21"/>
                <w:b w:val="1"/>
                <w:bCs w:val="1"/>
                <w:color w:val="auto"/>
              </w:rPr>
              <w:t>XVI -11</w:t>
            </w:r>
          </w:p>
        </w:tc>
        <w:tc>
          <w:tcPr>
            <w:tcW w:w="4580" w:type="dxa"/>
            <w:vAlign w:val="bottom"/>
          </w:tcPr>
          <w:p>
            <w:pPr>
              <w:ind w:left="160"/>
              <w:spacing w:after="0" w:line="211" w:lineRule="exact"/>
              <w:rPr>
                <w:sz w:val="20"/>
                <w:szCs w:val="20"/>
                <w:color w:val="auto"/>
              </w:rPr>
            </w:pPr>
            <w:r>
              <w:rPr>
                <w:rFonts w:ascii="Arial" w:cs="Arial" w:eastAsia="Arial" w:hAnsi="Arial"/>
                <w:sz w:val="21"/>
                <w:szCs w:val="21"/>
                <w:color w:val="auto"/>
              </w:rPr>
              <w:t>Cartuchos de tinta e toner, toner fotográfico</w:t>
            </w:r>
          </w:p>
        </w:tc>
        <w:tc>
          <w:tcPr>
            <w:tcW w:w="3080" w:type="dxa"/>
            <w:vAlign w:val="bottom"/>
          </w:tcPr>
          <w:p>
            <w:pPr>
              <w:ind w:left="140"/>
              <w:spacing w:after="0" w:line="211" w:lineRule="exact"/>
              <w:rPr>
                <w:sz w:val="20"/>
                <w:szCs w:val="20"/>
                <w:color w:val="auto"/>
              </w:rPr>
            </w:pPr>
            <w:r>
              <w:rPr>
                <w:rFonts w:ascii="Arial" w:cs="Arial" w:eastAsia="Arial" w:hAnsi="Arial"/>
                <w:sz w:val="21"/>
                <w:szCs w:val="21"/>
                <w:color w:val="auto"/>
              </w:rPr>
              <w:t>3707.10, 3707.90, 8443.99</w:t>
            </w:r>
          </w:p>
        </w:tc>
        <w:tc>
          <w:tcPr>
            <w:tcW w:w="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20" w:type="dxa"/>
            <w:vAlign w:val="bottom"/>
            <w:vMerge w:val="continue"/>
          </w:tcPr>
          <w:p>
            <w:pPr>
              <w:spacing w:after="0"/>
              <w:rPr>
                <w:sz w:val="20"/>
                <w:szCs w:val="20"/>
                <w:color w:val="auto"/>
              </w:rPr>
            </w:pPr>
          </w:p>
        </w:tc>
        <w:tc>
          <w:tcPr>
            <w:tcW w:w="4580" w:type="dxa"/>
            <w:vAlign w:val="bottom"/>
          </w:tcPr>
          <w:p>
            <w:pPr>
              <w:ind w:left="160"/>
              <w:spacing w:after="0" w:line="238" w:lineRule="exact"/>
              <w:rPr>
                <w:sz w:val="20"/>
                <w:szCs w:val="20"/>
                <w:color w:val="auto"/>
              </w:rPr>
            </w:pPr>
            <w:r>
              <w:rPr>
                <w:rFonts w:ascii="Arial" w:cs="Arial" w:eastAsia="Arial" w:hAnsi="Arial"/>
                <w:sz w:val="21"/>
                <w:szCs w:val="21"/>
                <w:color w:val="auto"/>
              </w:rPr>
              <w:t>e produtos semelhantes incluindo, os descritos</w:t>
            </w:r>
          </w:p>
        </w:tc>
        <w:tc>
          <w:tcPr>
            <w:tcW w:w="30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580" w:type="dxa"/>
            <w:vAlign w:val="bottom"/>
          </w:tcPr>
          <w:p>
            <w:pPr>
              <w:ind w:left="160"/>
              <w:spacing w:after="0" w:line="238" w:lineRule="exact"/>
              <w:rPr>
                <w:sz w:val="20"/>
                <w:szCs w:val="20"/>
                <w:color w:val="auto"/>
              </w:rPr>
            </w:pPr>
            <w:r>
              <w:rPr>
                <w:rFonts w:ascii="Arial" w:cs="Arial" w:eastAsia="Arial" w:hAnsi="Arial"/>
                <w:sz w:val="21"/>
                <w:szCs w:val="21"/>
                <w:color w:val="auto"/>
              </w:rPr>
              <w:t>nos códigos HS:</w:t>
            </w:r>
          </w:p>
        </w:tc>
        <w:tc>
          <w:tcPr>
            <w:tcW w:w="30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580" w:type="dxa"/>
            <w:vAlign w:val="bottom"/>
          </w:tcPr>
          <w:p>
            <w:pPr>
              <w:ind w:left="160"/>
              <w:spacing w:after="0" w:line="238" w:lineRule="exact"/>
              <w:rPr>
                <w:sz w:val="20"/>
                <w:szCs w:val="20"/>
                <w:color w:val="auto"/>
              </w:rPr>
            </w:pPr>
            <w:r>
              <w:rPr>
                <w:rFonts w:ascii="Arial" w:cs="Arial" w:eastAsia="Arial" w:hAnsi="Arial"/>
                <w:sz w:val="21"/>
                <w:szCs w:val="21"/>
                <w:color w:val="auto"/>
              </w:rPr>
              <w:t>● 37 - Para usos fotográficos, por exemplo,</w:t>
            </w:r>
          </w:p>
        </w:tc>
        <w:tc>
          <w:tcPr>
            <w:tcW w:w="30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580" w:type="dxa"/>
            <w:vAlign w:val="bottom"/>
          </w:tcPr>
          <w:p>
            <w:pPr>
              <w:ind w:left="160"/>
              <w:spacing w:after="0" w:line="238" w:lineRule="exact"/>
              <w:rPr>
                <w:sz w:val="20"/>
                <w:szCs w:val="20"/>
                <w:color w:val="auto"/>
              </w:rPr>
            </w:pPr>
            <w:r>
              <w:rPr>
                <w:rFonts w:ascii="Arial" w:cs="Arial" w:eastAsia="Arial" w:hAnsi="Arial"/>
                <w:sz w:val="21"/>
                <w:szCs w:val="21"/>
                <w:color w:val="auto"/>
              </w:rPr>
              <w:t>emulsões de sensibilização geralmente à base</w:t>
            </w:r>
          </w:p>
        </w:tc>
        <w:tc>
          <w:tcPr>
            <w:tcW w:w="30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580" w:type="dxa"/>
            <w:vAlign w:val="bottom"/>
          </w:tcPr>
          <w:p>
            <w:pPr>
              <w:ind w:left="160"/>
              <w:spacing w:after="0" w:line="238" w:lineRule="exact"/>
              <w:rPr>
                <w:sz w:val="20"/>
                <w:szCs w:val="20"/>
                <w:color w:val="auto"/>
              </w:rPr>
            </w:pPr>
            <w:r>
              <w:rPr>
                <w:rFonts w:ascii="Arial" w:cs="Arial" w:eastAsia="Arial" w:hAnsi="Arial"/>
                <w:sz w:val="21"/>
                <w:szCs w:val="21"/>
                <w:color w:val="auto"/>
              </w:rPr>
              <w:t>de halogenetos de prata; preparações</w:t>
            </w:r>
          </w:p>
        </w:tc>
        <w:tc>
          <w:tcPr>
            <w:tcW w:w="30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6"/>
        </w:trPr>
        <w:tc>
          <w:tcPr>
            <w:tcW w:w="11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580" w:type="dxa"/>
            <w:vAlign w:val="bottom"/>
          </w:tcPr>
          <w:p>
            <w:pPr>
              <w:ind w:left="160"/>
              <w:spacing w:after="0" w:line="236" w:lineRule="exact"/>
              <w:rPr>
                <w:sz w:val="20"/>
                <w:szCs w:val="20"/>
                <w:color w:val="auto"/>
              </w:rPr>
            </w:pPr>
            <w:r>
              <w:rPr>
                <w:rFonts w:ascii="Arial" w:cs="Arial" w:eastAsia="Arial" w:hAnsi="Arial"/>
                <w:sz w:val="21"/>
                <w:szCs w:val="21"/>
                <w:color w:val="auto"/>
              </w:rPr>
              <w:t>químicas para uso fotográfico, por exemplo,</w:t>
            </w:r>
          </w:p>
        </w:tc>
        <w:tc>
          <w:tcPr>
            <w:tcW w:w="30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0"/>
        </w:trPr>
        <w:tc>
          <w:tcPr>
            <w:tcW w:w="11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580" w:type="dxa"/>
            <w:vAlign w:val="bottom"/>
          </w:tcPr>
          <w:p>
            <w:pPr>
              <w:ind w:left="160"/>
              <w:spacing w:after="0" w:line="240" w:lineRule="exact"/>
              <w:rPr>
                <w:sz w:val="20"/>
                <w:szCs w:val="20"/>
                <w:color w:val="auto"/>
              </w:rPr>
            </w:pPr>
            <w:r>
              <w:rPr>
                <w:rFonts w:ascii="Arial" w:cs="Arial" w:eastAsia="Arial" w:hAnsi="Arial"/>
                <w:sz w:val="21"/>
                <w:szCs w:val="21"/>
                <w:i w:val="1"/>
                <w:iCs w:val="1"/>
                <w:color w:val="auto"/>
              </w:rPr>
              <w:t>toners</w:t>
            </w:r>
            <w:r>
              <w:rPr>
                <w:rFonts w:ascii="Arial" w:cs="Arial" w:eastAsia="Arial" w:hAnsi="Arial"/>
                <w:sz w:val="21"/>
                <w:szCs w:val="21"/>
                <w:color w:val="auto"/>
              </w:rPr>
              <w:t>, fixadores, reveladores; etc.</w:t>
            </w:r>
          </w:p>
        </w:tc>
        <w:tc>
          <w:tcPr>
            <w:tcW w:w="30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8"/>
        </w:trPr>
        <w:tc>
          <w:tcPr>
            <w:tcW w:w="11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580" w:type="dxa"/>
            <w:vAlign w:val="bottom"/>
          </w:tcPr>
          <w:p>
            <w:pPr>
              <w:ind w:left="160"/>
              <w:spacing w:after="0" w:line="238" w:lineRule="exact"/>
              <w:rPr>
                <w:sz w:val="20"/>
                <w:szCs w:val="20"/>
                <w:color w:val="auto"/>
              </w:rPr>
            </w:pPr>
            <w:r>
              <w:rPr>
                <w:rFonts w:ascii="Arial" w:cs="Arial" w:eastAsia="Arial" w:hAnsi="Arial"/>
                <w:sz w:val="21"/>
                <w:szCs w:val="21"/>
                <w:color w:val="auto"/>
              </w:rPr>
              <w:t>● 84 - Para impressoras a laser, impressoras</w:t>
            </w:r>
          </w:p>
        </w:tc>
        <w:tc>
          <w:tcPr>
            <w:tcW w:w="30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6"/>
        </w:trPr>
        <w:tc>
          <w:tcPr>
            <w:tcW w:w="116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4580" w:type="dxa"/>
            <w:vAlign w:val="bottom"/>
          </w:tcPr>
          <w:p>
            <w:pPr>
              <w:ind w:left="160"/>
              <w:spacing w:after="0" w:line="236" w:lineRule="exact"/>
              <w:rPr>
                <w:sz w:val="20"/>
                <w:szCs w:val="20"/>
                <w:color w:val="auto"/>
              </w:rPr>
            </w:pPr>
            <w:r>
              <w:rPr>
                <w:rFonts w:ascii="Arial" w:cs="Arial" w:eastAsia="Arial" w:hAnsi="Arial"/>
                <w:sz w:val="21"/>
                <w:szCs w:val="21"/>
                <w:color w:val="auto"/>
              </w:rPr>
              <w:t>a jato de tinta, etc. se esses produtos forem</w:t>
            </w:r>
          </w:p>
        </w:tc>
        <w:tc>
          <w:tcPr>
            <w:tcW w:w="30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1160" w:type="dxa"/>
            <w:vAlign w:val="bottom"/>
          </w:tcPr>
          <w:p>
            <w:pPr>
              <w:spacing w:after="0"/>
              <w:rPr>
                <w:sz w:val="22"/>
                <w:szCs w:val="22"/>
                <w:color w:val="auto"/>
              </w:rPr>
            </w:pPr>
          </w:p>
        </w:tc>
        <w:tc>
          <w:tcPr>
            <w:tcW w:w="1020" w:type="dxa"/>
            <w:vAlign w:val="bottom"/>
          </w:tcPr>
          <w:p>
            <w:pPr>
              <w:spacing w:after="0"/>
              <w:rPr>
                <w:sz w:val="22"/>
                <w:szCs w:val="22"/>
                <w:color w:val="auto"/>
              </w:rPr>
            </w:pPr>
          </w:p>
        </w:tc>
        <w:tc>
          <w:tcPr>
            <w:tcW w:w="4580" w:type="dxa"/>
            <w:vAlign w:val="bottom"/>
          </w:tcPr>
          <w:p>
            <w:pPr>
              <w:ind w:left="160"/>
              <w:spacing w:after="0"/>
              <w:rPr>
                <w:sz w:val="20"/>
                <w:szCs w:val="20"/>
                <w:color w:val="auto"/>
              </w:rPr>
            </w:pPr>
            <w:r>
              <w:rPr>
                <w:rFonts w:ascii="Arial" w:cs="Arial" w:eastAsia="Arial" w:hAnsi="Arial"/>
                <w:sz w:val="21"/>
                <w:szCs w:val="21"/>
                <w:color w:val="auto"/>
              </w:rPr>
              <w:t>vendidos com a impressora / máquina.</w:t>
            </w:r>
          </w:p>
        </w:tc>
        <w:tc>
          <w:tcPr>
            <w:tcW w:w="3080" w:type="dxa"/>
            <w:vAlign w:val="bottom"/>
          </w:tcPr>
          <w:p>
            <w:pPr>
              <w:spacing w:after="0"/>
              <w:rPr>
                <w:sz w:val="22"/>
                <w:szCs w:val="22"/>
                <w:color w:val="auto"/>
              </w:rPr>
            </w:pPr>
          </w:p>
        </w:tc>
        <w:tc>
          <w:tcPr>
            <w:tcW w:w="680" w:type="dxa"/>
            <w:vAlign w:val="bottom"/>
          </w:tcPr>
          <w:p>
            <w:pPr>
              <w:spacing w:after="0"/>
              <w:rPr>
                <w:sz w:val="22"/>
                <w:szCs w:val="22"/>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736600</wp:posOffset>
                </wp:positionH>
                <wp:positionV relativeFrom="paragraph">
                  <wp:posOffset>-2890520</wp:posOffset>
                </wp:positionV>
                <wp:extent cx="0" cy="2894965"/>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94965"/>
                        </a:xfrm>
                        <a:prstGeom prst="line">
                          <a:avLst/>
                        </a:prstGeom>
                        <a:solidFill>
                          <a:srgbClr val="FFFFFF"/>
                        </a:solidFill>
                        <a:ln w="5257">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8pt,-227.5999pt" to="58pt,0.35pt" o:allowincell="f" strokecolor="#000000" strokeweight="0.4139pt"/>
            </w:pict>
          </mc:Fallback>
        </mc:AlternateContent>
        <mc:AlternateContent>
          <mc:Choice Requires="wps">
            <w:drawing>
              <wp:anchor simplePos="0" relativeHeight="251657728" behindDoc="1" locked="0" layoutInCell="0" allowOverlap="1">
                <wp:simplePos x="0" y="0"/>
                <wp:positionH relativeFrom="column">
                  <wp:posOffset>1423035</wp:posOffset>
                </wp:positionH>
                <wp:positionV relativeFrom="paragraph">
                  <wp:posOffset>-2890520</wp:posOffset>
                </wp:positionV>
                <wp:extent cx="0" cy="2894965"/>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94965"/>
                        </a:xfrm>
                        <a:prstGeom prst="line">
                          <a:avLst/>
                        </a:prstGeom>
                        <a:solidFill>
                          <a:srgbClr val="FFFFFF"/>
                        </a:solidFill>
                        <a:ln w="5245">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2.05pt,-227.5999pt" to="112.05pt,0.35pt" o:allowincell="f" strokecolor="#000000" strokeweight="0.413pt"/>
            </w:pict>
          </mc:Fallback>
        </mc:AlternateContent>
        <mc:AlternateContent>
          <mc:Choice Requires="wps">
            <w:drawing>
              <wp:anchor simplePos="0" relativeHeight="251657728" behindDoc="1" locked="0" layoutInCell="0" allowOverlap="1">
                <wp:simplePos x="0" y="0"/>
                <wp:positionH relativeFrom="column">
                  <wp:posOffset>4320540</wp:posOffset>
                </wp:positionH>
                <wp:positionV relativeFrom="paragraph">
                  <wp:posOffset>-2890520</wp:posOffset>
                </wp:positionV>
                <wp:extent cx="0" cy="2894965"/>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94965"/>
                        </a:xfrm>
                        <a:prstGeom prst="line">
                          <a:avLst/>
                        </a:prstGeom>
                        <a:solidFill>
                          <a:srgbClr val="FFFFFF"/>
                        </a:solidFill>
                        <a:ln w="5257">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0.2pt,-227.5999pt" to="340.2pt,0.35pt" o:allowincell="f" strokecolor="#000000" strokeweight="0.4139pt"/>
            </w:pict>
          </mc:Fallback>
        </mc:AlternateContent>
        <mc:AlternateContent>
          <mc:Choice Requires="wps">
            <w:drawing>
              <wp:anchor simplePos="0" relativeHeight="251657728" behindDoc="1" locked="0" layoutInCell="0" allowOverlap="1">
                <wp:simplePos x="0" y="0"/>
                <wp:positionH relativeFrom="column">
                  <wp:posOffset>6243955</wp:posOffset>
                </wp:positionH>
                <wp:positionV relativeFrom="paragraph">
                  <wp:posOffset>-2890520</wp:posOffset>
                </wp:positionV>
                <wp:extent cx="0" cy="2894965"/>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94965"/>
                        </a:xfrm>
                        <a:prstGeom prst="line">
                          <a:avLst/>
                        </a:prstGeom>
                        <a:solidFill>
                          <a:srgbClr val="FFFFFF"/>
                        </a:solidFill>
                        <a:ln w="5244">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1.65pt,-227.5999pt" to="491.65pt,0.35pt" o:allowincell="f" strokecolor="#000000" strokeweight="0.4129pt"/>
            </w:pict>
          </mc:Fallback>
        </mc:AlternateContent>
        <mc:AlternateContent>
          <mc:Choice Requires="wps">
            <w:drawing>
              <wp:anchor simplePos="0" relativeHeight="251657728" behindDoc="1" locked="0" layoutInCell="0" allowOverlap="1">
                <wp:simplePos x="0" y="0"/>
                <wp:positionH relativeFrom="column">
                  <wp:posOffset>734060</wp:posOffset>
                </wp:positionH>
                <wp:positionV relativeFrom="paragraph">
                  <wp:posOffset>1905</wp:posOffset>
                </wp:positionV>
                <wp:extent cx="5512435"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12435" cy="4763"/>
                        </a:xfrm>
                        <a:prstGeom prst="line">
                          <a:avLst/>
                        </a:prstGeom>
                        <a:solidFill>
                          <a:srgbClr val="FFFFFF"/>
                        </a:solidFill>
                        <a:ln w="5245">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8pt,0.15pt" to="491.85pt,0.15pt" o:allowincell="f" strokecolor="#000000" strokeweight="0.413pt"/>
            </w:pict>
          </mc:Fallback>
        </mc:AlternateContent>
      </w:r>
    </w:p>
    <w:p>
      <w:pPr>
        <w:ind w:left="2460"/>
        <w:spacing w:after="0"/>
        <w:rPr>
          <w:sz w:val="20"/>
          <w:szCs w:val="20"/>
          <w:color w:val="auto"/>
        </w:rPr>
      </w:pPr>
      <w:r>
        <w:rPr>
          <w:rFonts w:ascii="Arial" w:cs="Arial" w:eastAsia="Arial" w:hAnsi="Arial"/>
          <w:sz w:val="21"/>
          <w:szCs w:val="21"/>
          <w:b w:val="1"/>
          <w:bCs w:val="1"/>
          <w:color w:val="auto"/>
        </w:rPr>
        <w:t>Grupo XVII – Equipamentos, componentes e sistemas ópticos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6184900</wp:posOffset>
                </wp:positionH>
                <wp:positionV relativeFrom="paragraph">
                  <wp:posOffset>-146685</wp:posOffset>
                </wp:positionV>
                <wp:extent cx="59055" cy="225425"/>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55" cy="225425"/>
                        </a:xfrm>
                        <a:prstGeom prst="rect">
                          <a:avLst/>
                        </a:prstGeom>
                        <a:solidFill>
                          <a:srgbClr val="D9D9D9"/>
                        </a:solidFill>
                      </wps:spPr>
                      <wps:bodyPr/>
                    </wps:wsp>
                  </a:graphicData>
                </a:graphic>
              </wp:anchor>
            </w:drawing>
          </mc:Choice>
          <mc:Fallback>
            <w:pict>
              <v:rect id="Shape 58" o:spid="_x0000_s1083" style="position:absolute;margin-left:487pt;margin-top:-11.5499pt;width:4.65pt;height:17.7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737235</wp:posOffset>
                </wp:positionH>
                <wp:positionV relativeFrom="paragraph">
                  <wp:posOffset>-146050</wp:posOffset>
                </wp:positionV>
                <wp:extent cx="5447665" cy="22479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47665" cy="224790"/>
                        </a:xfrm>
                        <a:prstGeom prst="rect">
                          <a:avLst/>
                        </a:prstGeom>
                        <a:solidFill>
                          <a:srgbClr val="D9D9D9"/>
                        </a:solidFill>
                      </wps:spPr>
                      <wps:bodyPr/>
                    </wps:wsp>
                  </a:graphicData>
                </a:graphic>
              </wp:anchor>
            </w:drawing>
          </mc:Choice>
          <mc:Fallback>
            <w:pict>
              <v:rect id="Shape 59" o:spid="_x0000_s1084" style="position:absolute;margin-left:58.05pt;margin-top:-11.4999pt;width:428.95pt;height:17.7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w:r>
    </w:p>
    <w:p>
      <w:pPr>
        <w:spacing w:after="0" w:line="82" w:lineRule="exact"/>
        <w:rPr>
          <w:sz w:val="20"/>
          <w:szCs w:val="20"/>
          <w:color w:val="auto"/>
        </w:rPr>
      </w:pPr>
    </w:p>
    <w:tbl>
      <w:tblPr>
        <w:tblLayout w:type="fixed"/>
        <w:tblInd w:w="1170" w:type="dxa"/>
        <w:tblCellMar>
          <w:top w:w="0" w:type="dxa"/>
          <w:left w:w="0" w:type="dxa"/>
          <w:bottom w:w="0" w:type="dxa"/>
          <w:right w:w="0" w:type="dxa"/>
        </w:tblCellMar>
      </w:tblPr>
      <w:tr>
        <w:trPr>
          <w:trHeight w:val="248"/>
        </w:trPr>
        <w:tc>
          <w:tcPr>
            <w:tcW w:w="1100" w:type="dxa"/>
            <w:vAlign w:val="bottom"/>
            <w:tcBorders>
              <w:top w:val="single" w:sz="8" w:color="auto"/>
              <w:left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21"/>
                <w:szCs w:val="21"/>
                <w:b w:val="1"/>
                <w:bCs w:val="1"/>
                <w:color w:val="auto"/>
                <w:w w:val="95"/>
              </w:rPr>
              <w:t>NP</w:t>
            </w:r>
          </w:p>
        </w:tc>
        <w:tc>
          <w:tcPr>
            <w:tcW w:w="4560" w:type="dxa"/>
            <w:vAlign w:val="bottom"/>
            <w:tcBorders>
              <w:top w:val="single" w:sz="8" w:color="auto"/>
              <w:bottom w:val="single" w:sz="8" w:color="auto"/>
              <w:right w:val="single" w:sz="8" w:color="auto"/>
            </w:tcBorders>
          </w:tcPr>
          <w:p>
            <w:pPr>
              <w:ind w:left="1200"/>
              <w:spacing w:after="0"/>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top w:val="single" w:sz="8" w:color="auto"/>
              <w:bottom w:val="single" w:sz="8" w:color="auto"/>
              <w:right w:val="single" w:sz="8" w:color="auto"/>
            </w:tcBorders>
          </w:tcPr>
          <w:p>
            <w:pPr>
              <w:ind w:left="980"/>
              <w:spacing w:after="0"/>
              <w:rPr>
                <w:sz w:val="20"/>
                <w:szCs w:val="20"/>
                <w:color w:val="auto"/>
              </w:rPr>
            </w:pPr>
            <w:r>
              <w:rPr>
                <w:rFonts w:ascii="Arial" w:cs="Arial" w:eastAsia="Arial" w:hAnsi="Arial"/>
                <w:sz w:val="21"/>
                <w:szCs w:val="21"/>
                <w:b w:val="1"/>
                <w:bCs w:val="1"/>
                <w:color w:val="auto"/>
              </w:rPr>
              <w:t>Código HS</w:t>
            </w:r>
          </w:p>
        </w:tc>
      </w:tr>
      <w:tr>
        <w:trPr>
          <w:trHeight w:val="208"/>
        </w:trPr>
        <w:tc>
          <w:tcPr>
            <w:tcW w:w="1100" w:type="dxa"/>
            <w:vAlign w:val="bottom"/>
            <w:tcBorders>
              <w:left w:val="single" w:sz="8" w:color="auto"/>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7"/>
              </w:rPr>
              <w:t>XVII-01</w:t>
            </w:r>
          </w:p>
        </w:tc>
        <w:tc>
          <w:tcPr>
            <w:tcW w:w="456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Lentes de contato, óculos de sol, óculos</w:t>
            </w:r>
          </w:p>
        </w:tc>
        <w:tc>
          <w:tcPr>
            <w:tcW w:w="3020" w:type="dxa"/>
            <w:vAlign w:val="bottom"/>
            <w:tcBorders>
              <w:right w:val="single" w:sz="8" w:color="auto"/>
            </w:tcBorders>
          </w:tcPr>
          <w:p>
            <w:pPr>
              <w:ind w:left="80"/>
              <w:spacing w:after="0" w:line="208" w:lineRule="exact"/>
              <w:rPr>
                <w:sz w:val="20"/>
                <w:szCs w:val="20"/>
                <w:color w:val="auto"/>
              </w:rPr>
            </w:pPr>
            <w:r>
              <w:rPr>
                <w:rFonts w:ascii="Arial" w:cs="Arial" w:eastAsia="Arial" w:hAnsi="Arial"/>
                <w:sz w:val="21"/>
                <w:szCs w:val="21"/>
                <w:color w:val="auto"/>
              </w:rPr>
              <w:t>9001, 9002, 9003, 9004</w:t>
            </w:r>
          </w:p>
        </w:tc>
      </w:tr>
      <w:tr>
        <w:trPr>
          <w:trHeight w:val="256"/>
        </w:trPr>
        <w:tc>
          <w:tcPr>
            <w:tcW w:w="1100" w:type="dxa"/>
            <w:vAlign w:val="bottom"/>
            <w:tcBorders>
              <w:left w:val="single" w:sz="8" w:color="auto"/>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e produtos semelhantes</w:t>
            </w:r>
          </w:p>
        </w:tc>
        <w:tc>
          <w:tcPr>
            <w:tcW w:w="3020" w:type="dxa"/>
            <w:vAlign w:val="bottom"/>
            <w:tcBorders>
              <w:bottom w:val="single" w:sz="8" w:color="auto"/>
              <w:right w:val="single" w:sz="8" w:color="auto"/>
            </w:tcBorders>
          </w:tcPr>
          <w:p>
            <w:pPr>
              <w:spacing w:after="0"/>
              <w:rPr>
                <w:sz w:val="22"/>
                <w:szCs w:val="22"/>
                <w:color w:val="auto"/>
              </w:rPr>
            </w:pPr>
          </w:p>
        </w:tc>
      </w:tr>
      <w:tr>
        <w:trPr>
          <w:trHeight w:val="210"/>
        </w:trPr>
        <w:tc>
          <w:tcPr>
            <w:tcW w:w="1100" w:type="dxa"/>
            <w:vAlign w:val="bottom"/>
            <w:tcBorders>
              <w:left w:val="single" w:sz="8" w:color="auto"/>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w w:val="97"/>
              </w:rPr>
              <w:t>XVII-02</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Binóculos, monóculos e outros telescópios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9005</w:t>
            </w:r>
          </w:p>
        </w:tc>
      </w:tr>
      <w:tr>
        <w:trPr>
          <w:trHeight w:val="238"/>
        </w:trPr>
        <w:tc>
          <w:tcPr>
            <w:tcW w:w="1100" w:type="dxa"/>
            <w:vAlign w:val="bottom"/>
            <w:tcBorders>
              <w:left w:val="single" w:sz="8" w:color="auto"/>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ópticos incluindo, peças, celostatos,</w:t>
            </w:r>
          </w:p>
        </w:tc>
        <w:tc>
          <w:tcPr>
            <w:tcW w:w="3020" w:type="dxa"/>
            <w:vAlign w:val="bottom"/>
            <w:tcBorders>
              <w:right w:val="single" w:sz="8" w:color="auto"/>
            </w:tcBorders>
          </w:tcPr>
          <w:p>
            <w:pPr>
              <w:spacing w:after="0"/>
              <w:rPr>
                <w:sz w:val="20"/>
                <w:szCs w:val="20"/>
                <w:color w:val="auto"/>
              </w:rPr>
            </w:pPr>
          </w:p>
        </w:tc>
      </w:tr>
      <w:tr>
        <w:trPr>
          <w:trHeight w:val="238"/>
        </w:trPr>
        <w:tc>
          <w:tcPr>
            <w:tcW w:w="1100" w:type="dxa"/>
            <w:vAlign w:val="bottom"/>
            <w:tcBorders>
              <w:left w:val="single" w:sz="8" w:color="auto"/>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telescópios zenitais e outros telescópios</w:t>
            </w:r>
          </w:p>
        </w:tc>
        <w:tc>
          <w:tcPr>
            <w:tcW w:w="3020" w:type="dxa"/>
            <w:vAlign w:val="bottom"/>
            <w:tcBorders>
              <w:right w:val="single" w:sz="8" w:color="auto"/>
            </w:tcBorders>
          </w:tcPr>
          <w:p>
            <w:pPr>
              <w:spacing w:after="0"/>
              <w:rPr>
                <w:sz w:val="20"/>
                <w:szCs w:val="20"/>
                <w:color w:val="auto"/>
              </w:rPr>
            </w:pPr>
          </w:p>
        </w:tc>
      </w:tr>
      <w:tr>
        <w:trPr>
          <w:trHeight w:val="256"/>
        </w:trPr>
        <w:tc>
          <w:tcPr>
            <w:tcW w:w="1100" w:type="dxa"/>
            <w:vAlign w:val="bottom"/>
            <w:tcBorders>
              <w:left w:val="single" w:sz="8" w:color="auto"/>
              <w:bottom w:val="single" w:sz="8" w:color="auto"/>
              <w:right w:val="single" w:sz="8" w:color="auto"/>
            </w:tcBorders>
          </w:tcPr>
          <w:p>
            <w:pPr>
              <w:spacing w:after="0"/>
              <w:rPr>
                <w:sz w:val="22"/>
                <w:szCs w:val="22"/>
                <w:color w:val="auto"/>
              </w:rPr>
            </w:pPr>
          </w:p>
        </w:tc>
        <w:tc>
          <w:tcPr>
            <w:tcW w:w="45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1"/>
                <w:szCs w:val="21"/>
                <w:color w:val="auto"/>
              </w:rPr>
              <w:t>relacionados à astrologia/ astronomia.</w:t>
            </w:r>
          </w:p>
        </w:tc>
        <w:tc>
          <w:tcPr>
            <w:tcW w:w="3020" w:type="dxa"/>
            <w:vAlign w:val="bottom"/>
            <w:tcBorders>
              <w:bottom w:val="single" w:sz="8" w:color="auto"/>
              <w:right w:val="single" w:sz="8" w:color="auto"/>
            </w:tcBorders>
          </w:tcPr>
          <w:p>
            <w:pPr>
              <w:spacing w:after="0"/>
              <w:rPr>
                <w:sz w:val="22"/>
                <w:szCs w:val="22"/>
                <w:color w:val="auto"/>
              </w:rPr>
            </w:pPr>
          </w:p>
        </w:tc>
      </w:tr>
      <w:tr>
        <w:trPr>
          <w:trHeight w:val="275"/>
        </w:trPr>
        <w:tc>
          <w:tcPr>
            <w:tcW w:w="1100" w:type="dxa"/>
            <w:vAlign w:val="bottom"/>
            <w:tcBorders>
              <w:left w:val="single" w:sz="8" w:color="auto"/>
              <w:right w:val="single" w:sz="8" w:color="D9D9D9"/>
            </w:tcBorders>
            <w:shd w:val="clear" w:color="auto" w:fill="D9D9D9"/>
          </w:tcPr>
          <w:p>
            <w:pPr>
              <w:spacing w:after="0"/>
              <w:rPr>
                <w:sz w:val="23"/>
                <w:szCs w:val="23"/>
                <w:color w:val="auto"/>
              </w:rPr>
            </w:pPr>
          </w:p>
        </w:tc>
        <w:tc>
          <w:tcPr>
            <w:tcW w:w="7580" w:type="dxa"/>
            <w:vAlign w:val="bottom"/>
            <w:tcBorders>
              <w:right w:val="single" w:sz="8" w:color="auto"/>
            </w:tcBorders>
            <w:gridSpan w:val="2"/>
            <w:shd w:val="clear" w:color="auto" w:fill="D9D9D9"/>
          </w:tcPr>
          <w:p>
            <w:pPr>
              <w:ind w:left="1200"/>
              <w:spacing w:after="0"/>
              <w:rPr>
                <w:sz w:val="20"/>
                <w:szCs w:val="20"/>
                <w:color w:val="auto"/>
              </w:rPr>
            </w:pPr>
            <w:r>
              <w:rPr>
                <w:rFonts w:ascii="Arial" w:cs="Arial" w:eastAsia="Arial" w:hAnsi="Arial"/>
                <w:sz w:val="21"/>
                <w:szCs w:val="21"/>
                <w:b w:val="1"/>
                <w:bCs w:val="1"/>
                <w:color w:val="auto"/>
              </w:rPr>
              <w:t>Grupo XVIII – Vidro e produtos cerâmicos</w:t>
            </w:r>
          </w:p>
        </w:tc>
      </w:tr>
      <w:tr>
        <w:trPr>
          <w:trHeight w:val="69"/>
        </w:trPr>
        <w:tc>
          <w:tcPr>
            <w:tcW w:w="1100" w:type="dxa"/>
            <w:vAlign w:val="bottom"/>
            <w:tcBorders>
              <w:left w:val="single" w:sz="8" w:color="auto"/>
              <w:bottom w:val="single" w:sz="8" w:color="auto"/>
              <w:right w:val="single" w:sz="8" w:color="D9D9D9"/>
            </w:tcBorders>
            <w:shd w:val="clear" w:color="auto" w:fill="D9D9D9"/>
          </w:tcPr>
          <w:p>
            <w:pPr>
              <w:spacing w:after="0"/>
              <w:rPr>
                <w:sz w:val="6"/>
                <w:szCs w:val="6"/>
                <w:color w:val="auto"/>
              </w:rPr>
            </w:pPr>
          </w:p>
        </w:tc>
        <w:tc>
          <w:tcPr>
            <w:tcW w:w="4560" w:type="dxa"/>
            <w:vAlign w:val="bottom"/>
            <w:tcBorders>
              <w:bottom w:val="single" w:sz="8" w:color="auto"/>
              <w:right w:val="single" w:sz="8" w:color="D9D9D9"/>
            </w:tcBorders>
            <w:shd w:val="clear" w:color="auto" w:fill="D9D9D9"/>
          </w:tcPr>
          <w:p>
            <w:pPr>
              <w:spacing w:after="0"/>
              <w:rPr>
                <w:sz w:val="6"/>
                <w:szCs w:val="6"/>
                <w:color w:val="auto"/>
              </w:rPr>
            </w:pPr>
          </w:p>
        </w:tc>
        <w:tc>
          <w:tcPr>
            <w:tcW w:w="3020" w:type="dxa"/>
            <w:vAlign w:val="bottom"/>
            <w:tcBorders>
              <w:bottom w:val="single" w:sz="8" w:color="auto"/>
              <w:right w:val="single" w:sz="8" w:color="auto"/>
            </w:tcBorders>
            <w:shd w:val="clear" w:color="auto" w:fill="D9D9D9"/>
          </w:tcPr>
          <w:p>
            <w:pPr>
              <w:spacing w:after="0"/>
              <w:rPr>
                <w:sz w:val="6"/>
                <w:szCs w:val="6"/>
                <w:color w:val="auto"/>
              </w:rPr>
            </w:pPr>
          </w:p>
        </w:tc>
      </w:tr>
      <w:tr>
        <w:trPr>
          <w:trHeight w:val="226"/>
        </w:trPr>
        <w:tc>
          <w:tcPr>
            <w:tcW w:w="1100" w:type="dxa"/>
            <w:vAlign w:val="bottom"/>
            <w:tcBorders>
              <w:left w:val="single" w:sz="8" w:color="auto"/>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5"/>
              </w:rPr>
              <w:t>NP</w:t>
            </w:r>
          </w:p>
        </w:tc>
        <w:tc>
          <w:tcPr>
            <w:tcW w:w="4560" w:type="dxa"/>
            <w:vAlign w:val="bottom"/>
            <w:tcBorders>
              <w:bottom w:val="single" w:sz="8" w:color="auto"/>
              <w:right w:val="single" w:sz="8" w:color="auto"/>
            </w:tcBorders>
          </w:tcPr>
          <w:p>
            <w:pPr>
              <w:ind w:left="120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bottom w:val="single" w:sz="8" w:color="auto"/>
              <w:right w:val="single" w:sz="8" w:color="auto"/>
            </w:tcBorders>
          </w:tcPr>
          <w:p>
            <w:pPr>
              <w:ind w:left="980"/>
              <w:spacing w:after="0" w:line="226" w:lineRule="exact"/>
              <w:rPr>
                <w:sz w:val="20"/>
                <w:szCs w:val="20"/>
                <w:color w:val="auto"/>
              </w:rPr>
            </w:pPr>
            <w:r>
              <w:rPr>
                <w:rFonts w:ascii="Arial" w:cs="Arial" w:eastAsia="Arial" w:hAnsi="Arial"/>
                <w:sz w:val="21"/>
                <w:szCs w:val="21"/>
                <w:b w:val="1"/>
                <w:bCs w:val="1"/>
                <w:color w:val="auto"/>
              </w:rPr>
              <w:t>Código HS</w:t>
            </w:r>
          </w:p>
        </w:tc>
      </w:tr>
      <w:tr>
        <w:trPr>
          <w:trHeight w:val="210"/>
        </w:trPr>
        <w:tc>
          <w:tcPr>
            <w:tcW w:w="1100" w:type="dxa"/>
            <w:vAlign w:val="bottom"/>
            <w:tcBorders>
              <w:left w:val="single" w:sz="8" w:color="auto"/>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rPr>
              <w:t>XVIII-01</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Espelhos emoldurados ou não para móveis,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7009.91, 7009.92</w:t>
            </w:r>
          </w:p>
        </w:tc>
      </w:tr>
      <w:tr>
        <w:trPr>
          <w:trHeight w:val="238"/>
        </w:trPr>
        <w:tc>
          <w:tcPr>
            <w:tcW w:w="1100" w:type="dxa"/>
            <w:vAlign w:val="bottom"/>
            <w:tcBorders>
              <w:left w:val="single" w:sz="8" w:color="auto"/>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espelhos de banheiro, espelhos de bolso,</w:t>
            </w:r>
          </w:p>
        </w:tc>
        <w:tc>
          <w:tcPr>
            <w:tcW w:w="3020" w:type="dxa"/>
            <w:vAlign w:val="bottom"/>
            <w:tcBorders>
              <w:right w:val="single" w:sz="8" w:color="auto"/>
            </w:tcBorders>
          </w:tcPr>
          <w:p>
            <w:pPr>
              <w:spacing w:after="0"/>
              <w:rPr>
                <w:sz w:val="20"/>
                <w:szCs w:val="20"/>
                <w:color w:val="auto"/>
              </w:rPr>
            </w:pPr>
          </w:p>
        </w:tc>
      </w:tr>
      <w:tr>
        <w:trPr>
          <w:trHeight w:val="238"/>
        </w:trPr>
        <w:tc>
          <w:tcPr>
            <w:tcW w:w="1100" w:type="dxa"/>
            <w:vAlign w:val="bottom"/>
            <w:tcBorders>
              <w:left w:val="single" w:sz="8" w:color="auto"/>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espelhos giratórios, espelhos usados em</w:t>
            </w:r>
          </w:p>
        </w:tc>
        <w:tc>
          <w:tcPr>
            <w:tcW w:w="3020" w:type="dxa"/>
            <w:vAlign w:val="bottom"/>
            <w:tcBorders>
              <w:right w:val="single" w:sz="8" w:color="auto"/>
            </w:tcBorders>
          </w:tcPr>
          <w:p>
            <w:pPr>
              <w:spacing w:after="0"/>
              <w:rPr>
                <w:sz w:val="20"/>
                <w:szCs w:val="20"/>
                <w:color w:val="auto"/>
              </w:rPr>
            </w:pPr>
          </w:p>
        </w:tc>
      </w:tr>
      <w:tr>
        <w:trPr>
          <w:trHeight w:val="238"/>
        </w:trPr>
        <w:tc>
          <w:tcPr>
            <w:tcW w:w="1100" w:type="dxa"/>
            <w:vAlign w:val="bottom"/>
            <w:tcBorders>
              <w:left w:val="single" w:sz="8" w:color="auto"/>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provadores de alfaiates ou em lojas de roupa</w:t>
            </w:r>
          </w:p>
        </w:tc>
        <w:tc>
          <w:tcPr>
            <w:tcW w:w="3020" w:type="dxa"/>
            <w:vAlign w:val="bottom"/>
            <w:tcBorders>
              <w:right w:val="single" w:sz="8" w:color="auto"/>
            </w:tcBorders>
          </w:tcPr>
          <w:p>
            <w:pPr>
              <w:spacing w:after="0"/>
              <w:rPr>
                <w:sz w:val="20"/>
                <w:szCs w:val="20"/>
                <w:color w:val="auto"/>
              </w:rPr>
            </w:pPr>
          </w:p>
        </w:tc>
      </w:tr>
      <w:tr>
        <w:trPr>
          <w:trHeight w:val="274"/>
        </w:trPr>
        <w:tc>
          <w:tcPr>
            <w:tcW w:w="1100" w:type="dxa"/>
            <w:vAlign w:val="bottom"/>
            <w:tcBorders>
              <w:left w:val="single" w:sz="8" w:color="auto"/>
              <w:right w:val="single" w:sz="8" w:color="auto"/>
            </w:tcBorders>
          </w:tcPr>
          <w:p>
            <w:pPr>
              <w:spacing w:after="0"/>
              <w:rPr>
                <w:sz w:val="23"/>
                <w:szCs w:val="23"/>
                <w:color w:val="auto"/>
              </w:rPr>
            </w:pPr>
          </w:p>
        </w:tc>
        <w:tc>
          <w:tcPr>
            <w:tcW w:w="456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e calçado.</w:t>
            </w:r>
          </w:p>
        </w:tc>
        <w:tc>
          <w:tcPr>
            <w:tcW w:w="3020" w:type="dxa"/>
            <w:vAlign w:val="bottom"/>
            <w:tcBorders>
              <w:right w:val="single" w:sz="8" w:color="auto"/>
            </w:tcBorders>
          </w:tcPr>
          <w:p>
            <w:pPr>
              <w:spacing w:after="0"/>
              <w:rPr>
                <w:sz w:val="23"/>
                <w:szCs w:val="23"/>
                <w:color w:val="auto"/>
              </w:rPr>
            </w:pPr>
          </w:p>
        </w:tc>
      </w:tr>
      <w:tr>
        <w:trPr>
          <w:trHeight w:val="217"/>
        </w:trPr>
        <w:tc>
          <w:tcPr>
            <w:tcW w:w="1100" w:type="dxa"/>
            <w:vAlign w:val="bottom"/>
            <w:tcBorders>
              <w:left w:val="single" w:sz="8" w:color="auto"/>
              <w:bottom w:val="single" w:sz="8" w:color="auto"/>
              <w:right w:val="single" w:sz="8" w:color="auto"/>
            </w:tcBorders>
          </w:tcPr>
          <w:p>
            <w:pPr>
              <w:spacing w:after="0"/>
              <w:rPr>
                <w:sz w:val="18"/>
                <w:szCs w:val="18"/>
                <w:color w:val="auto"/>
              </w:rPr>
            </w:pPr>
          </w:p>
        </w:tc>
        <w:tc>
          <w:tcPr>
            <w:tcW w:w="4560" w:type="dxa"/>
            <w:vAlign w:val="bottom"/>
            <w:tcBorders>
              <w:bottom w:val="single" w:sz="8" w:color="auto"/>
              <w:right w:val="single" w:sz="8" w:color="auto"/>
            </w:tcBorders>
          </w:tcPr>
          <w:p>
            <w:pPr>
              <w:spacing w:after="0"/>
              <w:rPr>
                <w:sz w:val="18"/>
                <w:szCs w:val="18"/>
                <w:color w:val="auto"/>
              </w:rPr>
            </w:pPr>
          </w:p>
        </w:tc>
        <w:tc>
          <w:tcPr>
            <w:tcW w:w="3020" w:type="dxa"/>
            <w:vAlign w:val="bottom"/>
            <w:tcBorders>
              <w:bottom w:val="single" w:sz="8" w:color="auto"/>
              <w:right w:val="single" w:sz="8" w:color="auto"/>
            </w:tcBorders>
          </w:tcPr>
          <w:p>
            <w:pPr>
              <w:spacing w:after="0"/>
              <w:rPr>
                <w:sz w:val="18"/>
                <w:szCs w:val="18"/>
                <w:color w:val="auto"/>
              </w:rPr>
            </w:pPr>
          </w:p>
        </w:tc>
      </w:tr>
      <w:tr>
        <w:trPr>
          <w:trHeight w:val="210"/>
        </w:trPr>
        <w:tc>
          <w:tcPr>
            <w:tcW w:w="1100" w:type="dxa"/>
            <w:vAlign w:val="bottom"/>
            <w:tcBorders>
              <w:left w:val="single" w:sz="8" w:color="auto"/>
              <w:right w:val="single" w:sz="8" w:color="auto"/>
            </w:tcBorders>
          </w:tcPr>
          <w:p>
            <w:pPr>
              <w:jc w:val="center"/>
              <w:spacing w:after="0" w:line="211" w:lineRule="exact"/>
              <w:rPr>
                <w:sz w:val="20"/>
                <w:szCs w:val="20"/>
                <w:color w:val="auto"/>
              </w:rPr>
            </w:pPr>
            <w:r>
              <w:rPr>
                <w:rFonts w:ascii="Arial" w:cs="Arial" w:eastAsia="Arial" w:hAnsi="Arial"/>
                <w:sz w:val="21"/>
                <w:szCs w:val="21"/>
                <w:b w:val="1"/>
                <w:bCs w:val="1"/>
                <w:color w:val="auto"/>
              </w:rPr>
              <w:t>XVIII-02</w:t>
            </w:r>
          </w:p>
        </w:tc>
        <w:tc>
          <w:tcPr>
            <w:tcW w:w="456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Garrafões, potes, aquário, bandejas de cinzas,</w:t>
            </w:r>
          </w:p>
        </w:tc>
        <w:tc>
          <w:tcPr>
            <w:tcW w:w="3020" w:type="dxa"/>
            <w:vAlign w:val="bottom"/>
            <w:tcBorders>
              <w:right w:val="single" w:sz="8" w:color="auto"/>
            </w:tcBorders>
          </w:tcPr>
          <w:p>
            <w:pPr>
              <w:ind w:left="80"/>
              <w:spacing w:after="0" w:line="211" w:lineRule="exact"/>
              <w:rPr>
                <w:sz w:val="20"/>
                <w:szCs w:val="20"/>
                <w:color w:val="auto"/>
              </w:rPr>
            </w:pPr>
            <w:r>
              <w:rPr>
                <w:rFonts w:ascii="Arial" w:cs="Arial" w:eastAsia="Arial" w:hAnsi="Arial"/>
                <w:sz w:val="21"/>
                <w:szCs w:val="21"/>
                <w:color w:val="auto"/>
              </w:rPr>
              <w:t>6909.11,6909.12,6909.19,</w:t>
            </w:r>
          </w:p>
        </w:tc>
      </w:tr>
      <w:tr>
        <w:trPr>
          <w:trHeight w:val="238"/>
        </w:trPr>
        <w:tc>
          <w:tcPr>
            <w:tcW w:w="1100" w:type="dxa"/>
            <w:vAlign w:val="bottom"/>
            <w:tcBorders>
              <w:left w:val="single" w:sz="8" w:color="auto"/>
              <w:right w:val="single" w:sz="8" w:color="auto"/>
            </w:tcBorders>
          </w:tcPr>
          <w:p>
            <w:pPr>
              <w:spacing w:after="0"/>
              <w:rPr>
                <w:sz w:val="20"/>
                <w:szCs w:val="20"/>
                <w:color w:val="auto"/>
              </w:rPr>
            </w:pPr>
          </w:p>
        </w:tc>
        <w:tc>
          <w:tcPr>
            <w:tcW w:w="456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louças de laboratório e produtos semelhantes</w:t>
            </w: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6909.90,6911.90,6912,6913,</w:t>
            </w:r>
          </w:p>
        </w:tc>
      </w:tr>
      <w:tr>
        <w:trPr>
          <w:trHeight w:val="238"/>
        </w:trPr>
        <w:tc>
          <w:tcPr>
            <w:tcW w:w="1100" w:type="dxa"/>
            <w:vAlign w:val="bottom"/>
            <w:tcBorders>
              <w:left w:val="single" w:sz="8" w:color="auto"/>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7010.10,7010.20,7010.90,</w:t>
            </w:r>
          </w:p>
        </w:tc>
      </w:tr>
      <w:tr>
        <w:trPr>
          <w:trHeight w:val="238"/>
        </w:trPr>
        <w:tc>
          <w:tcPr>
            <w:tcW w:w="1100" w:type="dxa"/>
            <w:vAlign w:val="bottom"/>
            <w:tcBorders>
              <w:left w:val="single" w:sz="8" w:color="auto"/>
              <w:right w:val="single" w:sz="8" w:color="auto"/>
            </w:tcBorders>
          </w:tcPr>
          <w:p>
            <w:pPr>
              <w:spacing w:after="0"/>
              <w:rPr>
                <w:sz w:val="20"/>
                <w:szCs w:val="20"/>
                <w:color w:val="auto"/>
              </w:rPr>
            </w:pPr>
          </w:p>
        </w:tc>
        <w:tc>
          <w:tcPr>
            <w:tcW w:w="4560" w:type="dxa"/>
            <w:vAlign w:val="bottom"/>
            <w:tcBorders>
              <w:right w:val="single" w:sz="8" w:color="auto"/>
            </w:tcBorders>
          </w:tcPr>
          <w:p>
            <w:pPr>
              <w:spacing w:after="0"/>
              <w:rPr>
                <w:sz w:val="20"/>
                <w:szCs w:val="20"/>
                <w:color w:val="auto"/>
              </w:rPr>
            </w:pPr>
          </w:p>
        </w:tc>
        <w:tc>
          <w:tcPr>
            <w:tcW w:w="3020" w:type="dxa"/>
            <w:vAlign w:val="bottom"/>
            <w:tcBorders>
              <w:right w:val="single" w:sz="8" w:color="auto"/>
            </w:tcBorders>
          </w:tcPr>
          <w:p>
            <w:pPr>
              <w:ind w:left="80"/>
              <w:spacing w:after="0" w:line="238" w:lineRule="exact"/>
              <w:rPr>
                <w:sz w:val="20"/>
                <w:szCs w:val="20"/>
                <w:color w:val="auto"/>
              </w:rPr>
            </w:pPr>
            <w:r>
              <w:rPr>
                <w:rFonts w:ascii="Arial" w:cs="Arial" w:eastAsia="Arial" w:hAnsi="Arial"/>
                <w:sz w:val="21"/>
                <w:szCs w:val="21"/>
                <w:color w:val="auto"/>
              </w:rPr>
              <w:t>7013.10,7013.91,7013.99,</w:t>
            </w:r>
          </w:p>
        </w:tc>
      </w:tr>
      <w:tr>
        <w:trPr>
          <w:trHeight w:val="274"/>
        </w:trPr>
        <w:tc>
          <w:tcPr>
            <w:tcW w:w="1100" w:type="dxa"/>
            <w:vAlign w:val="bottom"/>
            <w:tcBorders>
              <w:left w:val="single" w:sz="8" w:color="auto"/>
              <w:right w:val="single" w:sz="8" w:color="auto"/>
            </w:tcBorders>
          </w:tcPr>
          <w:p>
            <w:pPr>
              <w:spacing w:after="0"/>
              <w:rPr>
                <w:sz w:val="23"/>
                <w:szCs w:val="23"/>
                <w:color w:val="auto"/>
              </w:rPr>
            </w:pPr>
          </w:p>
        </w:tc>
        <w:tc>
          <w:tcPr>
            <w:tcW w:w="4560" w:type="dxa"/>
            <w:vAlign w:val="bottom"/>
            <w:tcBorders>
              <w:right w:val="single" w:sz="8" w:color="auto"/>
            </w:tcBorders>
          </w:tcPr>
          <w:p>
            <w:pPr>
              <w:spacing w:after="0"/>
              <w:rPr>
                <w:sz w:val="23"/>
                <w:szCs w:val="23"/>
                <w:color w:val="auto"/>
              </w:rPr>
            </w:pPr>
          </w:p>
        </w:tc>
        <w:tc>
          <w:tcPr>
            <w:tcW w:w="3020" w:type="dxa"/>
            <w:vAlign w:val="bottom"/>
            <w:tcBorders>
              <w:right w:val="single" w:sz="8" w:color="auto"/>
            </w:tcBorders>
          </w:tcPr>
          <w:p>
            <w:pPr>
              <w:ind w:left="80"/>
              <w:spacing w:after="0"/>
              <w:rPr>
                <w:sz w:val="20"/>
                <w:szCs w:val="20"/>
                <w:color w:val="auto"/>
              </w:rPr>
            </w:pPr>
            <w:r>
              <w:rPr>
                <w:rFonts w:ascii="Arial" w:cs="Arial" w:eastAsia="Arial" w:hAnsi="Arial"/>
                <w:sz w:val="21"/>
                <w:szCs w:val="21"/>
                <w:color w:val="auto"/>
              </w:rPr>
              <w:t>7017.10,7017.20,7017.90</w:t>
            </w:r>
          </w:p>
        </w:tc>
      </w:tr>
      <w:tr>
        <w:trPr>
          <w:trHeight w:val="207"/>
        </w:trPr>
        <w:tc>
          <w:tcPr>
            <w:tcW w:w="1100" w:type="dxa"/>
            <w:vAlign w:val="bottom"/>
            <w:tcBorders>
              <w:left w:val="single" w:sz="8" w:color="auto"/>
              <w:right w:val="single" w:sz="8" w:color="auto"/>
            </w:tcBorders>
          </w:tcPr>
          <w:p>
            <w:pPr>
              <w:spacing w:after="0"/>
              <w:rPr>
                <w:sz w:val="17"/>
                <w:szCs w:val="17"/>
                <w:color w:val="auto"/>
              </w:rPr>
            </w:pPr>
          </w:p>
        </w:tc>
        <w:tc>
          <w:tcPr>
            <w:tcW w:w="4560" w:type="dxa"/>
            <w:vAlign w:val="bottom"/>
            <w:tcBorders>
              <w:right w:val="single" w:sz="8" w:color="auto"/>
            </w:tcBorders>
          </w:tcPr>
          <w:p>
            <w:pPr>
              <w:spacing w:after="0"/>
              <w:rPr>
                <w:sz w:val="17"/>
                <w:szCs w:val="17"/>
                <w:color w:val="auto"/>
              </w:rPr>
            </w:pPr>
          </w:p>
        </w:tc>
        <w:tc>
          <w:tcPr>
            <w:tcW w:w="3020" w:type="dxa"/>
            <w:vAlign w:val="bottom"/>
            <w:tcBorders>
              <w:right w:val="single" w:sz="8" w:color="auto"/>
            </w:tcBorders>
          </w:tcPr>
          <w:p>
            <w:pPr>
              <w:spacing w:after="0"/>
              <w:rPr>
                <w:sz w:val="17"/>
                <w:szCs w:val="17"/>
                <w:color w:val="auto"/>
              </w:rPr>
            </w:pPr>
          </w:p>
        </w:tc>
      </w:tr>
    </w:tbl>
    <w:p>
      <w:pPr>
        <w:sectPr>
          <w:pgSz w:w="11900" w:h="16838" w:orient="portrait"/>
          <w:cols w:equalWidth="0" w:num="1">
            <w:col w:w="10520"/>
          </w:cols>
          <w:pgMar w:left="680" w:top="803" w:right="706" w:bottom="1440" w:gutter="0" w:footer="0" w:header="0"/>
        </w:sectPr>
      </w:pPr>
    </w:p>
    <w:bookmarkStart w:id="29" w:name="page30"/>
    <w:bookmarkEnd w:id="29"/>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41"/>
        </w:trPr>
        <w:tc>
          <w:tcPr>
            <w:tcW w:w="1160" w:type="dxa"/>
            <w:vAlign w:val="bottom"/>
          </w:tcPr>
          <w:p>
            <w:pPr>
              <w:jc w:val="right"/>
              <w:ind w:right="760"/>
              <w:spacing w:after="0"/>
              <w:rPr>
                <w:sz w:val="20"/>
                <w:szCs w:val="20"/>
                <w:color w:val="auto"/>
              </w:rPr>
            </w:pPr>
            <w:r>
              <w:rPr>
                <w:rFonts w:ascii="Times New Roman" w:cs="Times New Roman" w:eastAsia="Times New Roman" w:hAnsi="Times New Roman"/>
                <w:sz w:val="20"/>
                <w:szCs w:val="20"/>
                <w:color w:val="auto"/>
                <w:w w:val="93"/>
              </w:rPr>
              <w:t>374</w:t>
            </w:r>
          </w:p>
        </w:tc>
        <w:tc>
          <w:tcPr>
            <w:tcW w:w="860" w:type="dxa"/>
            <w:vAlign w:val="bottom"/>
          </w:tcPr>
          <w:p>
            <w:pPr>
              <w:spacing w:after="0"/>
              <w:rPr>
                <w:sz w:val="20"/>
                <w:szCs w:val="20"/>
                <w:color w:val="auto"/>
              </w:rPr>
            </w:pPr>
          </w:p>
        </w:tc>
        <w:tc>
          <w:tcPr>
            <w:tcW w:w="4740" w:type="dxa"/>
            <w:vAlign w:val="bottom"/>
          </w:tcPr>
          <w:p>
            <w:pPr>
              <w:spacing w:after="0"/>
              <w:rPr>
                <w:sz w:val="20"/>
                <w:szCs w:val="20"/>
                <w:color w:val="auto"/>
              </w:rPr>
            </w:pPr>
          </w:p>
        </w:tc>
        <w:tc>
          <w:tcPr>
            <w:tcW w:w="3760" w:type="dxa"/>
            <w:vAlign w:val="bottom"/>
            <w:gridSpan w:val="2"/>
          </w:tcPr>
          <w:p>
            <w:pPr>
              <w:ind w:left="1700"/>
              <w:spacing w:after="0"/>
              <w:rPr>
                <w:sz w:val="20"/>
                <w:szCs w:val="20"/>
                <w:color w:val="auto"/>
              </w:rPr>
            </w:pPr>
            <w:r>
              <w:rPr>
                <w:rFonts w:ascii="Times New Roman" w:cs="Times New Roman" w:eastAsia="Times New Roman" w:hAnsi="Times New Roman"/>
                <w:sz w:val="20"/>
                <w:szCs w:val="20"/>
                <w:i w:val="1"/>
                <w:iCs w:val="1"/>
                <w:color w:val="auto"/>
              </w:rPr>
              <w:t>I SÉRIE — NÚMERO 50</w:t>
            </w:r>
          </w:p>
        </w:tc>
      </w:tr>
      <w:tr>
        <w:trPr>
          <w:trHeight w:val="40"/>
        </w:trPr>
        <w:tc>
          <w:tcPr>
            <w:tcW w:w="1160" w:type="dxa"/>
            <w:vAlign w:val="bottom"/>
            <w:tcBorders>
              <w:bottom w:val="single" w:sz="8" w:color="auto"/>
            </w:tcBorders>
          </w:tcPr>
          <w:p>
            <w:pPr>
              <w:spacing w:after="0"/>
              <w:rPr>
                <w:sz w:val="3"/>
                <w:szCs w:val="3"/>
                <w:color w:val="auto"/>
              </w:rPr>
            </w:pPr>
          </w:p>
        </w:tc>
        <w:tc>
          <w:tcPr>
            <w:tcW w:w="860" w:type="dxa"/>
            <w:vAlign w:val="bottom"/>
            <w:tcBorders>
              <w:bottom w:val="single" w:sz="8" w:color="auto"/>
            </w:tcBorders>
          </w:tcPr>
          <w:p>
            <w:pPr>
              <w:spacing w:after="0"/>
              <w:rPr>
                <w:sz w:val="3"/>
                <w:szCs w:val="3"/>
                <w:color w:val="auto"/>
              </w:rPr>
            </w:pPr>
          </w:p>
        </w:tc>
        <w:tc>
          <w:tcPr>
            <w:tcW w:w="7800" w:type="dxa"/>
            <w:vAlign w:val="bottom"/>
            <w:tcBorders>
              <w:bottom w:val="single" w:sz="8" w:color="auto"/>
            </w:tcBorders>
            <w:gridSpan w:val="2"/>
          </w:tcPr>
          <w:p>
            <w:pPr>
              <w:spacing w:after="0"/>
              <w:rPr>
                <w:sz w:val="3"/>
                <w:szCs w:val="3"/>
                <w:color w:val="auto"/>
              </w:rPr>
            </w:pPr>
          </w:p>
        </w:tc>
        <w:tc>
          <w:tcPr>
            <w:tcW w:w="700" w:type="dxa"/>
            <w:vAlign w:val="bottom"/>
            <w:tcBorders>
              <w:bottom w:val="single" w:sz="8" w:color="auto"/>
            </w:tcBorders>
          </w:tcPr>
          <w:p>
            <w:pPr>
              <w:spacing w:after="0"/>
              <w:rPr>
                <w:sz w:val="3"/>
                <w:szCs w:val="3"/>
                <w:color w:val="auto"/>
              </w:rPr>
            </w:pPr>
          </w:p>
        </w:tc>
      </w:tr>
      <w:tr>
        <w:trPr>
          <w:trHeight w:val="334"/>
        </w:trPr>
        <w:tc>
          <w:tcPr>
            <w:tcW w:w="1160" w:type="dxa"/>
            <w:vAlign w:val="bottom"/>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7800" w:type="dxa"/>
            <w:vAlign w:val="bottom"/>
            <w:tcBorders>
              <w:bottom w:val="single" w:sz="8" w:color="auto"/>
            </w:tcBorders>
            <w:gridSpan w:val="2"/>
          </w:tcPr>
          <w:p>
            <w:pPr>
              <w:spacing w:after="0"/>
              <w:rPr>
                <w:sz w:val="24"/>
                <w:szCs w:val="24"/>
                <w:color w:val="auto"/>
              </w:rPr>
            </w:pPr>
          </w:p>
        </w:tc>
        <w:tc>
          <w:tcPr>
            <w:tcW w:w="700" w:type="dxa"/>
            <w:vAlign w:val="bottom"/>
          </w:tcPr>
          <w:p>
            <w:pPr>
              <w:spacing w:after="0"/>
              <w:rPr>
                <w:sz w:val="24"/>
                <w:szCs w:val="24"/>
                <w:color w:val="auto"/>
              </w:rPr>
            </w:pPr>
          </w:p>
        </w:tc>
      </w:tr>
      <w:tr>
        <w:trPr>
          <w:trHeight w:val="274"/>
        </w:trPr>
        <w:tc>
          <w:tcPr>
            <w:tcW w:w="1160" w:type="dxa"/>
            <w:vAlign w:val="bottom"/>
          </w:tcPr>
          <w:p>
            <w:pPr>
              <w:spacing w:after="0"/>
              <w:rPr>
                <w:sz w:val="23"/>
                <w:szCs w:val="23"/>
                <w:color w:val="auto"/>
              </w:rPr>
            </w:pPr>
          </w:p>
        </w:tc>
        <w:tc>
          <w:tcPr>
            <w:tcW w:w="860" w:type="dxa"/>
            <w:vAlign w:val="bottom"/>
            <w:shd w:val="clear" w:color="auto" w:fill="D9D9D9"/>
          </w:tcPr>
          <w:p>
            <w:pPr>
              <w:spacing w:after="0"/>
              <w:rPr>
                <w:sz w:val="23"/>
                <w:szCs w:val="23"/>
                <w:color w:val="auto"/>
              </w:rPr>
            </w:pPr>
          </w:p>
        </w:tc>
        <w:tc>
          <w:tcPr>
            <w:tcW w:w="7800" w:type="dxa"/>
            <w:vAlign w:val="bottom"/>
            <w:gridSpan w:val="2"/>
            <w:shd w:val="clear" w:color="auto" w:fill="D9D9D9"/>
          </w:tcPr>
          <w:p>
            <w:pPr>
              <w:ind w:left="20"/>
              <w:spacing w:after="0"/>
              <w:rPr>
                <w:sz w:val="20"/>
                <w:szCs w:val="20"/>
                <w:color w:val="auto"/>
              </w:rPr>
            </w:pPr>
            <w:r>
              <w:rPr>
                <w:rFonts w:ascii="Arial" w:cs="Arial" w:eastAsia="Arial" w:hAnsi="Arial"/>
                <w:sz w:val="21"/>
                <w:szCs w:val="21"/>
                <w:b w:val="1"/>
                <w:bCs w:val="1"/>
                <w:color w:val="auto"/>
              </w:rPr>
              <w:t>Grupo XX – Tabaco, produtos de tabaco e equipamentos relacionados</w:t>
            </w:r>
          </w:p>
        </w:tc>
        <w:tc>
          <w:tcPr>
            <w:tcW w:w="700" w:type="dxa"/>
            <w:vAlign w:val="bottom"/>
          </w:tcPr>
          <w:p>
            <w:pPr>
              <w:spacing w:after="0"/>
              <w:rPr>
                <w:sz w:val="23"/>
                <w:szCs w:val="23"/>
                <w:color w:val="auto"/>
              </w:rPr>
            </w:pPr>
          </w:p>
        </w:tc>
      </w:tr>
      <w:tr>
        <w:trPr>
          <w:trHeight w:val="71"/>
        </w:trPr>
        <w:tc>
          <w:tcPr>
            <w:tcW w:w="1160" w:type="dxa"/>
            <w:vAlign w:val="bottom"/>
          </w:tcPr>
          <w:p>
            <w:pPr>
              <w:spacing w:after="0"/>
              <w:rPr>
                <w:sz w:val="6"/>
                <w:szCs w:val="6"/>
                <w:color w:val="auto"/>
              </w:rPr>
            </w:pPr>
          </w:p>
        </w:tc>
        <w:tc>
          <w:tcPr>
            <w:tcW w:w="860" w:type="dxa"/>
            <w:vAlign w:val="bottom"/>
            <w:tcBorders>
              <w:bottom w:val="single" w:sz="8" w:color="auto"/>
            </w:tcBorders>
            <w:shd w:val="clear" w:color="auto" w:fill="D9D9D9"/>
          </w:tcPr>
          <w:p>
            <w:pPr>
              <w:spacing w:after="0"/>
              <w:rPr>
                <w:sz w:val="6"/>
                <w:szCs w:val="6"/>
                <w:color w:val="auto"/>
              </w:rPr>
            </w:pPr>
          </w:p>
        </w:tc>
        <w:tc>
          <w:tcPr>
            <w:tcW w:w="4740" w:type="dxa"/>
            <w:vAlign w:val="bottom"/>
            <w:tcBorders>
              <w:bottom w:val="single" w:sz="8" w:color="auto"/>
            </w:tcBorders>
            <w:shd w:val="clear" w:color="auto" w:fill="D9D9D9"/>
          </w:tcPr>
          <w:p>
            <w:pPr>
              <w:spacing w:after="0"/>
              <w:rPr>
                <w:sz w:val="6"/>
                <w:szCs w:val="6"/>
                <w:color w:val="auto"/>
              </w:rPr>
            </w:pPr>
          </w:p>
        </w:tc>
        <w:tc>
          <w:tcPr>
            <w:tcW w:w="3060" w:type="dxa"/>
            <w:vAlign w:val="bottom"/>
            <w:tcBorders>
              <w:bottom w:val="single" w:sz="8" w:color="auto"/>
            </w:tcBorders>
            <w:shd w:val="clear" w:color="auto" w:fill="D9D9D9"/>
          </w:tcPr>
          <w:p>
            <w:pPr>
              <w:spacing w:after="0"/>
              <w:rPr>
                <w:sz w:val="6"/>
                <w:szCs w:val="6"/>
                <w:color w:val="auto"/>
              </w:rPr>
            </w:pPr>
          </w:p>
        </w:tc>
        <w:tc>
          <w:tcPr>
            <w:tcW w:w="700" w:type="dxa"/>
            <w:vAlign w:val="bottom"/>
          </w:tcPr>
          <w:p>
            <w:pPr>
              <w:spacing w:after="0"/>
              <w:rPr>
                <w:sz w:val="6"/>
                <w:szCs w:val="6"/>
                <w:color w:val="auto"/>
              </w:rPr>
            </w:pPr>
          </w:p>
        </w:tc>
      </w:tr>
      <w:tr>
        <w:trPr>
          <w:trHeight w:val="226"/>
        </w:trPr>
        <w:tc>
          <w:tcPr>
            <w:tcW w:w="1160" w:type="dxa"/>
            <w:vAlign w:val="bottom"/>
          </w:tcPr>
          <w:p>
            <w:pPr>
              <w:spacing w:after="0"/>
              <w:rPr>
                <w:sz w:val="19"/>
                <w:szCs w:val="19"/>
                <w:color w:val="auto"/>
              </w:rPr>
            </w:pPr>
          </w:p>
        </w:tc>
        <w:tc>
          <w:tcPr>
            <w:tcW w:w="860" w:type="dxa"/>
            <w:vAlign w:val="bottom"/>
            <w:tcBorders>
              <w:bottom w:val="single" w:sz="8" w:color="auto"/>
            </w:tcBorders>
          </w:tcPr>
          <w:p>
            <w:pPr>
              <w:jc w:val="center"/>
              <w:ind w:left="117"/>
              <w:spacing w:after="0" w:line="226" w:lineRule="exact"/>
              <w:rPr>
                <w:sz w:val="20"/>
                <w:szCs w:val="20"/>
                <w:color w:val="auto"/>
              </w:rPr>
            </w:pPr>
            <w:r>
              <w:rPr>
                <w:rFonts w:ascii="Arial" w:cs="Arial" w:eastAsia="Arial" w:hAnsi="Arial"/>
                <w:sz w:val="21"/>
                <w:szCs w:val="21"/>
                <w:b w:val="1"/>
                <w:bCs w:val="1"/>
                <w:color w:val="auto"/>
                <w:w w:val="95"/>
              </w:rPr>
              <w:t>NP</w:t>
            </w:r>
          </w:p>
        </w:tc>
        <w:tc>
          <w:tcPr>
            <w:tcW w:w="4740" w:type="dxa"/>
            <w:vAlign w:val="bottom"/>
            <w:tcBorders>
              <w:bottom w:val="single" w:sz="8" w:color="auto"/>
            </w:tcBorders>
          </w:tcPr>
          <w:p>
            <w:pPr>
              <w:ind w:left="1440"/>
              <w:spacing w:after="0" w:line="226" w:lineRule="exact"/>
              <w:rPr>
                <w:sz w:val="20"/>
                <w:szCs w:val="20"/>
                <w:color w:val="auto"/>
              </w:rPr>
            </w:pPr>
            <w:r>
              <w:rPr>
                <w:rFonts w:ascii="Arial" w:cs="Arial" w:eastAsia="Arial" w:hAnsi="Arial"/>
                <w:sz w:val="21"/>
                <w:szCs w:val="21"/>
                <w:b w:val="1"/>
                <w:bCs w:val="1"/>
                <w:color w:val="auto"/>
              </w:rPr>
              <w:t>Descrição do produto</w:t>
            </w:r>
          </w:p>
        </w:tc>
        <w:tc>
          <w:tcPr>
            <w:tcW w:w="3060" w:type="dxa"/>
            <w:vAlign w:val="bottom"/>
            <w:tcBorders>
              <w:bottom w:val="single" w:sz="8" w:color="auto"/>
            </w:tcBorders>
          </w:tcPr>
          <w:p>
            <w:pPr>
              <w:ind w:left="1020"/>
              <w:spacing w:after="0" w:line="226" w:lineRule="exact"/>
              <w:rPr>
                <w:sz w:val="20"/>
                <w:szCs w:val="20"/>
                <w:color w:val="auto"/>
              </w:rPr>
            </w:pPr>
            <w:r>
              <w:rPr>
                <w:rFonts w:ascii="Arial" w:cs="Arial" w:eastAsia="Arial" w:hAnsi="Arial"/>
                <w:sz w:val="21"/>
                <w:szCs w:val="21"/>
                <w:b w:val="1"/>
                <w:bCs w:val="1"/>
                <w:color w:val="auto"/>
              </w:rPr>
              <w:t>Código HS</w:t>
            </w:r>
          </w:p>
        </w:tc>
        <w:tc>
          <w:tcPr>
            <w:tcW w:w="700" w:type="dxa"/>
            <w:vAlign w:val="bottom"/>
          </w:tcPr>
          <w:p>
            <w:pPr>
              <w:spacing w:after="0"/>
              <w:rPr>
                <w:sz w:val="19"/>
                <w:szCs w:val="19"/>
                <w:color w:val="auto"/>
              </w:rPr>
            </w:pPr>
          </w:p>
        </w:tc>
      </w:tr>
      <w:tr>
        <w:trPr>
          <w:trHeight w:val="208"/>
        </w:trPr>
        <w:tc>
          <w:tcPr>
            <w:tcW w:w="1160" w:type="dxa"/>
            <w:vAlign w:val="bottom"/>
          </w:tcPr>
          <w:p>
            <w:pPr>
              <w:spacing w:after="0"/>
              <w:rPr>
                <w:sz w:val="18"/>
                <w:szCs w:val="18"/>
                <w:color w:val="auto"/>
              </w:rPr>
            </w:pPr>
          </w:p>
        </w:tc>
        <w:tc>
          <w:tcPr>
            <w:tcW w:w="860" w:type="dxa"/>
            <w:vAlign w:val="bottom"/>
          </w:tcPr>
          <w:p>
            <w:pPr>
              <w:jc w:val="center"/>
              <w:ind w:left="117"/>
              <w:spacing w:after="0" w:line="208" w:lineRule="exact"/>
              <w:rPr>
                <w:sz w:val="20"/>
                <w:szCs w:val="20"/>
                <w:color w:val="auto"/>
              </w:rPr>
            </w:pPr>
            <w:r>
              <w:rPr>
                <w:rFonts w:ascii="Arial" w:cs="Arial" w:eastAsia="Arial" w:hAnsi="Arial"/>
                <w:sz w:val="21"/>
                <w:szCs w:val="21"/>
                <w:b w:val="1"/>
                <w:bCs w:val="1"/>
                <w:color w:val="auto"/>
                <w:w w:val="95"/>
              </w:rPr>
              <w:t>XX-01</w:t>
            </w:r>
          </w:p>
        </w:tc>
        <w:tc>
          <w:tcPr>
            <w:tcW w:w="4740" w:type="dxa"/>
            <w:vAlign w:val="bottom"/>
          </w:tcPr>
          <w:p>
            <w:pPr>
              <w:ind w:left="320"/>
              <w:spacing w:after="0" w:line="208" w:lineRule="exact"/>
              <w:rPr>
                <w:sz w:val="20"/>
                <w:szCs w:val="20"/>
                <w:color w:val="auto"/>
              </w:rPr>
            </w:pPr>
            <w:r>
              <w:rPr>
                <w:rFonts w:ascii="Arial" w:cs="Arial" w:eastAsia="Arial" w:hAnsi="Arial"/>
                <w:sz w:val="21"/>
                <w:szCs w:val="21"/>
                <w:color w:val="auto"/>
              </w:rPr>
              <w:t>Tabaco, cigarros, rapé, shisha e produtos</w:t>
            </w:r>
          </w:p>
        </w:tc>
        <w:tc>
          <w:tcPr>
            <w:tcW w:w="3060" w:type="dxa"/>
            <w:vAlign w:val="bottom"/>
          </w:tcPr>
          <w:p>
            <w:pPr>
              <w:ind w:left="120"/>
              <w:spacing w:after="0" w:line="208" w:lineRule="exact"/>
              <w:rPr>
                <w:sz w:val="20"/>
                <w:szCs w:val="20"/>
                <w:color w:val="auto"/>
              </w:rPr>
            </w:pPr>
            <w:r>
              <w:rPr>
                <w:rFonts w:ascii="Arial" w:cs="Arial" w:eastAsia="Arial" w:hAnsi="Arial"/>
                <w:sz w:val="21"/>
                <w:szCs w:val="21"/>
                <w:color w:val="auto"/>
              </w:rPr>
              <w:t>2401.10, 2401.20, 2401.30,</w:t>
            </w:r>
          </w:p>
        </w:tc>
        <w:tc>
          <w:tcPr>
            <w:tcW w:w="700" w:type="dxa"/>
            <w:vAlign w:val="bottom"/>
          </w:tcPr>
          <w:p>
            <w:pPr>
              <w:spacing w:after="0"/>
              <w:rPr>
                <w:sz w:val="18"/>
                <w:szCs w:val="18"/>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semelhantes</w:t>
            </w:r>
          </w:p>
        </w:tc>
        <w:tc>
          <w:tcPr>
            <w:tcW w:w="3060" w:type="dxa"/>
            <w:vAlign w:val="bottom"/>
          </w:tcPr>
          <w:p>
            <w:pPr>
              <w:ind w:left="120"/>
              <w:spacing w:after="0" w:line="237" w:lineRule="exact"/>
              <w:rPr>
                <w:sz w:val="20"/>
                <w:szCs w:val="20"/>
                <w:color w:val="auto"/>
              </w:rPr>
            </w:pPr>
            <w:r>
              <w:rPr>
                <w:rFonts w:ascii="Arial" w:cs="Arial" w:eastAsia="Arial" w:hAnsi="Arial"/>
                <w:sz w:val="21"/>
                <w:szCs w:val="21"/>
                <w:color w:val="auto"/>
              </w:rPr>
              <w:t>2402.10, 2402.20, 2402.90,</w:t>
            </w: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 Excluindo cigarros medicinais e cannabis</w:t>
            </w:r>
          </w:p>
        </w:tc>
        <w:tc>
          <w:tcPr>
            <w:tcW w:w="3060" w:type="dxa"/>
            <w:vAlign w:val="bottom"/>
          </w:tcPr>
          <w:p>
            <w:pPr>
              <w:ind w:left="120"/>
              <w:spacing w:after="0" w:line="237" w:lineRule="exact"/>
              <w:rPr>
                <w:sz w:val="20"/>
                <w:szCs w:val="20"/>
                <w:color w:val="auto"/>
              </w:rPr>
            </w:pPr>
            <w:r>
              <w:rPr>
                <w:rFonts w:ascii="Arial" w:cs="Arial" w:eastAsia="Arial" w:hAnsi="Arial"/>
                <w:sz w:val="21"/>
                <w:szCs w:val="21"/>
                <w:color w:val="auto"/>
              </w:rPr>
              <w:t>2403.11, 2403.19, 2403.91,</w:t>
            </w: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como substitutos do tabaco.</w:t>
            </w:r>
          </w:p>
        </w:tc>
        <w:tc>
          <w:tcPr>
            <w:tcW w:w="3060" w:type="dxa"/>
            <w:vAlign w:val="bottom"/>
          </w:tcPr>
          <w:p>
            <w:pPr>
              <w:ind w:left="120"/>
              <w:spacing w:after="0" w:line="237" w:lineRule="exact"/>
              <w:rPr>
                <w:sz w:val="20"/>
                <w:szCs w:val="20"/>
                <w:color w:val="auto"/>
              </w:rPr>
            </w:pPr>
            <w:r>
              <w:rPr>
                <w:rFonts w:ascii="Arial" w:cs="Arial" w:eastAsia="Arial" w:hAnsi="Arial"/>
                <w:sz w:val="21"/>
                <w:szCs w:val="21"/>
                <w:color w:val="auto"/>
              </w:rPr>
              <w:t>2403.99</w:t>
            </w: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 Os cigarros que contêm ou não tabaco (não</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contêm tabaco, são cigarros que usam</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substitutos do tabaco, por exemplo, alface</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r>
        <w:trPr>
          <w:trHeight w:val="255"/>
        </w:trPr>
        <w:tc>
          <w:tcPr>
            <w:tcW w:w="1160" w:type="dxa"/>
            <w:vAlign w:val="bottom"/>
          </w:tcPr>
          <w:p>
            <w:pPr>
              <w:spacing w:after="0"/>
              <w:rPr>
                <w:sz w:val="22"/>
                <w:szCs w:val="22"/>
                <w:color w:val="auto"/>
              </w:rPr>
            </w:pPr>
          </w:p>
        </w:tc>
        <w:tc>
          <w:tcPr>
            <w:tcW w:w="860" w:type="dxa"/>
            <w:vAlign w:val="bottom"/>
            <w:tcBorders>
              <w:bottom w:val="single" w:sz="8" w:color="auto"/>
            </w:tcBorders>
          </w:tcPr>
          <w:p>
            <w:pPr>
              <w:spacing w:after="0"/>
              <w:rPr>
                <w:sz w:val="22"/>
                <w:szCs w:val="22"/>
                <w:color w:val="auto"/>
              </w:rPr>
            </w:pPr>
          </w:p>
        </w:tc>
        <w:tc>
          <w:tcPr>
            <w:tcW w:w="4740" w:type="dxa"/>
            <w:vAlign w:val="bottom"/>
            <w:tcBorders>
              <w:bottom w:val="single" w:sz="8" w:color="auto"/>
            </w:tcBorders>
          </w:tcPr>
          <w:p>
            <w:pPr>
              <w:ind w:left="320"/>
              <w:spacing w:after="0"/>
              <w:rPr>
                <w:sz w:val="20"/>
                <w:szCs w:val="20"/>
                <w:color w:val="auto"/>
              </w:rPr>
            </w:pPr>
            <w:r>
              <w:rPr>
                <w:rFonts w:ascii="Arial" w:cs="Arial" w:eastAsia="Arial" w:hAnsi="Arial"/>
                <w:sz w:val="21"/>
                <w:szCs w:val="21"/>
                <w:color w:val="auto"/>
              </w:rPr>
              <w:t>seca, pétalas de rosa e outras ervas)</w:t>
            </w:r>
          </w:p>
        </w:tc>
        <w:tc>
          <w:tcPr>
            <w:tcW w:w="3060" w:type="dxa"/>
            <w:vAlign w:val="bottom"/>
            <w:tcBorders>
              <w:bottom w:val="single" w:sz="8" w:color="auto"/>
            </w:tcBorders>
          </w:tcPr>
          <w:p>
            <w:pPr>
              <w:spacing w:after="0"/>
              <w:rPr>
                <w:sz w:val="22"/>
                <w:szCs w:val="22"/>
                <w:color w:val="auto"/>
              </w:rPr>
            </w:pPr>
          </w:p>
        </w:tc>
        <w:tc>
          <w:tcPr>
            <w:tcW w:w="700" w:type="dxa"/>
            <w:vAlign w:val="bottom"/>
          </w:tcPr>
          <w:p>
            <w:pPr>
              <w:spacing w:after="0"/>
              <w:rPr>
                <w:sz w:val="22"/>
                <w:szCs w:val="22"/>
                <w:color w:val="auto"/>
              </w:rPr>
            </w:pPr>
          </w:p>
        </w:tc>
      </w:tr>
      <w:tr>
        <w:trPr>
          <w:trHeight w:val="208"/>
        </w:trPr>
        <w:tc>
          <w:tcPr>
            <w:tcW w:w="1160" w:type="dxa"/>
            <w:vAlign w:val="bottom"/>
          </w:tcPr>
          <w:p>
            <w:pPr>
              <w:spacing w:after="0"/>
              <w:rPr>
                <w:sz w:val="18"/>
                <w:szCs w:val="18"/>
                <w:color w:val="auto"/>
              </w:rPr>
            </w:pPr>
          </w:p>
        </w:tc>
        <w:tc>
          <w:tcPr>
            <w:tcW w:w="860" w:type="dxa"/>
            <w:vAlign w:val="bottom"/>
          </w:tcPr>
          <w:p>
            <w:pPr>
              <w:jc w:val="center"/>
              <w:ind w:left="117"/>
              <w:spacing w:after="0" w:line="208" w:lineRule="exact"/>
              <w:rPr>
                <w:sz w:val="20"/>
                <w:szCs w:val="20"/>
                <w:color w:val="auto"/>
              </w:rPr>
            </w:pPr>
            <w:r>
              <w:rPr>
                <w:rFonts w:ascii="Arial" w:cs="Arial" w:eastAsia="Arial" w:hAnsi="Arial"/>
                <w:sz w:val="21"/>
                <w:szCs w:val="21"/>
                <w:b w:val="1"/>
                <w:bCs w:val="1"/>
                <w:color w:val="auto"/>
                <w:w w:val="99"/>
              </w:rPr>
              <w:t>XX -02</w:t>
            </w:r>
          </w:p>
        </w:tc>
        <w:tc>
          <w:tcPr>
            <w:tcW w:w="4740" w:type="dxa"/>
            <w:vAlign w:val="bottom"/>
          </w:tcPr>
          <w:p>
            <w:pPr>
              <w:ind w:left="320"/>
              <w:spacing w:after="0" w:line="208" w:lineRule="exact"/>
              <w:rPr>
                <w:sz w:val="20"/>
                <w:szCs w:val="20"/>
                <w:color w:val="auto"/>
              </w:rPr>
            </w:pPr>
            <w:r>
              <w:rPr>
                <w:rFonts w:ascii="Arial" w:cs="Arial" w:eastAsia="Arial" w:hAnsi="Arial"/>
                <w:sz w:val="21"/>
                <w:szCs w:val="21"/>
                <w:color w:val="auto"/>
              </w:rPr>
              <w:t>Isqueiros, cigarreiras, cachimbos, porta-</w:t>
            </w:r>
          </w:p>
        </w:tc>
        <w:tc>
          <w:tcPr>
            <w:tcW w:w="3060" w:type="dxa"/>
            <w:vAlign w:val="bottom"/>
          </w:tcPr>
          <w:p>
            <w:pPr>
              <w:ind w:left="120"/>
              <w:spacing w:after="0" w:line="208" w:lineRule="exact"/>
              <w:rPr>
                <w:sz w:val="20"/>
                <w:szCs w:val="20"/>
                <w:color w:val="auto"/>
              </w:rPr>
            </w:pPr>
            <w:r>
              <w:rPr>
                <w:rFonts w:ascii="Arial" w:cs="Arial" w:eastAsia="Arial" w:hAnsi="Arial"/>
                <w:sz w:val="21"/>
                <w:szCs w:val="21"/>
                <w:color w:val="auto"/>
              </w:rPr>
              <w:t>4420.90,6913.10,6913.90,</w:t>
            </w:r>
          </w:p>
        </w:tc>
        <w:tc>
          <w:tcPr>
            <w:tcW w:w="700" w:type="dxa"/>
            <w:vAlign w:val="bottom"/>
          </w:tcPr>
          <w:p>
            <w:pPr>
              <w:spacing w:after="0"/>
              <w:rPr>
                <w:sz w:val="18"/>
                <w:szCs w:val="18"/>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cigarros e produtos semelhantes incluindo</w:t>
            </w:r>
          </w:p>
        </w:tc>
        <w:tc>
          <w:tcPr>
            <w:tcW w:w="3060" w:type="dxa"/>
            <w:vAlign w:val="bottom"/>
          </w:tcPr>
          <w:p>
            <w:pPr>
              <w:ind w:left="120"/>
              <w:spacing w:after="0" w:line="237" w:lineRule="exact"/>
              <w:rPr>
                <w:sz w:val="20"/>
                <w:szCs w:val="20"/>
                <w:color w:val="auto"/>
              </w:rPr>
            </w:pPr>
            <w:r>
              <w:rPr>
                <w:rFonts w:ascii="Arial" w:cs="Arial" w:eastAsia="Arial" w:hAnsi="Arial"/>
                <w:sz w:val="21"/>
                <w:szCs w:val="21"/>
                <w:color w:val="auto"/>
              </w:rPr>
              <w:t>7326.20,7616.99,9613,9614,</w:t>
            </w:r>
          </w:p>
        </w:tc>
        <w:tc>
          <w:tcPr>
            <w:tcW w:w="700" w:type="dxa"/>
            <w:vAlign w:val="bottom"/>
          </w:tcPr>
          <w:p>
            <w:pPr>
              <w:spacing w:after="0"/>
              <w:rPr>
                <w:sz w:val="20"/>
                <w:szCs w:val="20"/>
                <w:color w:val="auto"/>
              </w:rPr>
            </w:pPr>
          </w:p>
        </w:tc>
      </w:tr>
      <w:tr>
        <w:trPr>
          <w:trHeight w:val="238"/>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8" w:lineRule="exact"/>
              <w:rPr>
                <w:sz w:val="20"/>
                <w:szCs w:val="20"/>
                <w:color w:val="auto"/>
              </w:rPr>
            </w:pPr>
            <w:r>
              <w:rPr>
                <w:rFonts w:ascii="Arial" w:cs="Arial" w:eastAsia="Arial" w:hAnsi="Arial"/>
                <w:sz w:val="21"/>
                <w:szCs w:val="21"/>
                <w:color w:val="auto"/>
              </w:rPr>
              <w:t>os descritos nos códigos HS:</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 4420 - Caixas de cigarro em madeira.</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 6913 - Caixas de cerâmica para cigarros,</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ornamentais.</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 7326 - Caixas de cigarro em ferro ou aço.</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 7616 - Cigarreiras de alumínio.</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 9613 - Isqueiros de mesa, isqueiros de bolso</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e outros isqueiros.</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r>
        <w:trPr>
          <w:trHeight w:val="237"/>
        </w:trPr>
        <w:tc>
          <w:tcPr>
            <w:tcW w:w="116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740" w:type="dxa"/>
            <w:vAlign w:val="bottom"/>
          </w:tcPr>
          <w:p>
            <w:pPr>
              <w:ind w:left="320"/>
              <w:spacing w:after="0" w:line="237" w:lineRule="exact"/>
              <w:rPr>
                <w:sz w:val="20"/>
                <w:szCs w:val="20"/>
                <w:color w:val="auto"/>
              </w:rPr>
            </w:pPr>
            <w:r>
              <w:rPr>
                <w:rFonts w:ascii="Arial" w:cs="Arial" w:eastAsia="Arial" w:hAnsi="Arial"/>
                <w:sz w:val="21"/>
                <w:szCs w:val="21"/>
                <w:color w:val="auto"/>
              </w:rPr>
              <w:t>● 9614 - Porta-cigarros e peças, cachimbos</w:t>
            </w:r>
          </w:p>
        </w:tc>
        <w:tc>
          <w:tcPr>
            <w:tcW w:w="3060" w:type="dxa"/>
            <w:vAlign w:val="bottom"/>
          </w:tcPr>
          <w:p>
            <w:pPr>
              <w:spacing w:after="0"/>
              <w:rPr>
                <w:sz w:val="20"/>
                <w:szCs w:val="20"/>
                <w:color w:val="auto"/>
              </w:rPr>
            </w:pPr>
          </w:p>
        </w:tc>
        <w:tc>
          <w:tcPr>
            <w:tcW w:w="700" w:type="dxa"/>
            <w:vAlign w:val="bottom"/>
          </w:tcPr>
          <w:p>
            <w:pPr>
              <w:spacing w:after="0"/>
              <w:rPr>
                <w:sz w:val="20"/>
                <w:szCs w:val="20"/>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735330</wp:posOffset>
                </wp:positionH>
                <wp:positionV relativeFrom="paragraph">
                  <wp:posOffset>-3251200</wp:posOffset>
                </wp:positionV>
                <wp:extent cx="0" cy="5630545"/>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630545"/>
                        </a:xfrm>
                        <a:prstGeom prst="line">
                          <a:avLst/>
                        </a:prstGeom>
                        <a:solidFill>
                          <a:srgbClr val="FFFFFF"/>
                        </a:solidFill>
                        <a:ln w="5245">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pt,-256pt" to="57.9pt,187.35pt" o:allowincell="f" strokecolor="#000000" strokeweight="0.413pt"/>
            </w:pict>
          </mc:Fallback>
        </mc:AlternateContent>
        <mc:AlternateContent>
          <mc:Choice Requires="wps">
            <w:drawing>
              <wp:anchor simplePos="0" relativeHeight="251657728" behindDoc="1" locked="0" layoutInCell="0" allowOverlap="1">
                <wp:simplePos x="0" y="0"/>
                <wp:positionH relativeFrom="column">
                  <wp:posOffset>6233160</wp:posOffset>
                </wp:positionH>
                <wp:positionV relativeFrom="paragraph">
                  <wp:posOffset>-3251200</wp:posOffset>
                </wp:positionV>
                <wp:extent cx="0" cy="5630545"/>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630545"/>
                        </a:xfrm>
                        <a:prstGeom prst="line">
                          <a:avLst/>
                        </a:prstGeom>
                        <a:solidFill>
                          <a:srgbClr val="FFFFFF"/>
                        </a:solidFill>
                        <a:ln w="5232">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0.8pt,-256pt" to="490.8pt,187.35pt" o:allowincell="f" strokecolor="#000000" strokeweight="0.412pt"/>
            </w:pict>
          </mc:Fallback>
        </mc:AlternateContent>
        <mc:AlternateContent>
          <mc:Choice Requires="wps">
            <w:drawing>
              <wp:anchor simplePos="0" relativeHeight="251657728" behindDoc="1" locked="0" layoutInCell="0" allowOverlap="1">
                <wp:simplePos x="0" y="0"/>
                <wp:positionH relativeFrom="column">
                  <wp:posOffset>1421130</wp:posOffset>
                </wp:positionH>
                <wp:positionV relativeFrom="paragraph">
                  <wp:posOffset>-3018790</wp:posOffset>
                </wp:positionV>
                <wp:extent cx="0" cy="3185795"/>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85795"/>
                        </a:xfrm>
                        <a:prstGeom prst="line">
                          <a:avLst/>
                        </a:prstGeom>
                        <a:solidFill>
                          <a:srgbClr val="FFFFFF"/>
                        </a:solidFill>
                        <a:ln w="5232">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1.9pt,-237.6999pt" to="111.9pt,13.15pt" o:allowincell="f" strokecolor="#000000" strokeweight="0.412pt"/>
            </w:pict>
          </mc:Fallback>
        </mc:AlternateContent>
        <mc:AlternateContent>
          <mc:Choice Requires="wps">
            <w:drawing>
              <wp:anchor simplePos="0" relativeHeight="251657728" behindDoc="1" locked="0" layoutInCell="0" allowOverlap="1">
                <wp:simplePos x="0" y="0"/>
                <wp:positionH relativeFrom="column">
                  <wp:posOffset>4312920</wp:posOffset>
                </wp:positionH>
                <wp:positionV relativeFrom="paragraph">
                  <wp:posOffset>-3018790</wp:posOffset>
                </wp:positionV>
                <wp:extent cx="0" cy="3185795"/>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85795"/>
                        </a:xfrm>
                        <a:prstGeom prst="line">
                          <a:avLst/>
                        </a:prstGeom>
                        <a:solidFill>
                          <a:srgbClr val="FFFFFF"/>
                        </a:solidFill>
                        <a:ln w="5245">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9.6pt,-237.6999pt" to="339.6pt,13.15pt" o:allowincell="f" strokecolor="#000000" strokeweight="0.413pt"/>
            </w:pict>
          </mc:Fallback>
        </mc:AlternateContent>
      </w:r>
    </w:p>
    <w:p>
      <w:pPr>
        <w:ind w:left="2340"/>
        <w:spacing w:after="0"/>
        <w:rPr>
          <w:sz w:val="20"/>
          <w:szCs w:val="20"/>
          <w:color w:val="auto"/>
        </w:rPr>
      </w:pPr>
      <w:r>
        <w:rPr>
          <w:rFonts w:ascii="Arial" w:cs="Arial" w:eastAsia="Arial" w:hAnsi="Arial"/>
          <w:sz w:val="21"/>
          <w:szCs w:val="21"/>
          <w:color w:val="auto"/>
        </w:rPr>
        <w:t>e tigelas de cachimbo</w:t>
      </w:r>
    </w:p>
    <w:p>
      <w:pPr>
        <w:spacing w:after="0" w:line="12" w:lineRule="exact"/>
        <w:rPr>
          <w:sz w:val="20"/>
          <w:szCs w:val="20"/>
          <w:color w:val="auto"/>
        </w:rPr>
      </w:pPr>
    </w:p>
    <w:p>
      <w:pPr>
        <w:ind w:left="4000"/>
        <w:spacing w:after="0"/>
        <w:rPr>
          <w:sz w:val="20"/>
          <w:szCs w:val="20"/>
          <w:color w:val="auto"/>
        </w:rPr>
      </w:pPr>
      <w:r>
        <w:rPr>
          <w:rFonts w:ascii="Arial" w:cs="Arial" w:eastAsia="Arial" w:hAnsi="Arial"/>
          <w:sz w:val="21"/>
          <w:szCs w:val="21"/>
          <w:b w:val="1"/>
          <w:bCs w:val="1"/>
          <w:color w:val="auto"/>
        </w:rPr>
        <w:t>Grupo XXII – Produtos usados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6174105</wp:posOffset>
                </wp:positionH>
                <wp:positionV relativeFrom="paragraph">
                  <wp:posOffset>-146685</wp:posOffset>
                </wp:positionV>
                <wp:extent cx="56515" cy="22606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515" cy="226060"/>
                        </a:xfrm>
                        <a:prstGeom prst="rect">
                          <a:avLst/>
                        </a:prstGeom>
                        <a:solidFill>
                          <a:srgbClr val="D9D9D9"/>
                        </a:solidFill>
                      </wps:spPr>
                      <wps:bodyPr/>
                    </wps:wsp>
                  </a:graphicData>
                </a:graphic>
              </wp:anchor>
            </w:drawing>
          </mc:Choice>
          <mc:Fallback>
            <w:pict>
              <v:rect id="Shape 64" o:spid="_x0000_s1089" style="position:absolute;margin-left:486.15pt;margin-top:-11.5499pt;width:4.45pt;height:17.8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738505</wp:posOffset>
                </wp:positionH>
                <wp:positionV relativeFrom="paragraph">
                  <wp:posOffset>-146050</wp:posOffset>
                </wp:positionV>
                <wp:extent cx="5435600" cy="22606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35600" cy="226060"/>
                        </a:xfrm>
                        <a:prstGeom prst="rect">
                          <a:avLst/>
                        </a:prstGeom>
                        <a:solidFill>
                          <a:srgbClr val="D9D9D9"/>
                        </a:solidFill>
                      </wps:spPr>
                      <wps:bodyPr/>
                    </wps:wsp>
                  </a:graphicData>
                </a:graphic>
              </wp:anchor>
            </w:drawing>
          </mc:Choice>
          <mc:Fallback>
            <w:pict>
              <v:rect id="Shape 65" o:spid="_x0000_s1090" style="position:absolute;margin-left:58.15pt;margin-top:-11.4999pt;width:428pt;height:17.8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D9D9D9" stroked="f"/>
            </w:pict>
          </mc:Fallback>
        </mc:AlternateContent>
        <mc:AlternateContent>
          <mc:Choice Requires="wps">
            <w:drawing>
              <wp:anchor simplePos="0" relativeHeight="251657728" behindDoc="1" locked="0" layoutInCell="0" allowOverlap="1">
                <wp:simplePos x="0" y="0"/>
                <wp:positionH relativeFrom="column">
                  <wp:posOffset>732790</wp:posOffset>
                </wp:positionH>
                <wp:positionV relativeFrom="paragraph">
                  <wp:posOffset>-149225</wp:posOffset>
                </wp:positionV>
                <wp:extent cx="5502910"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02910" cy="4763"/>
                        </a:xfrm>
                        <a:prstGeom prst="line">
                          <a:avLst/>
                        </a:prstGeom>
                        <a:solidFill>
                          <a:srgbClr val="FFFFFF"/>
                        </a:solidFill>
                        <a:ln w="5232">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7pt,-11.7499pt" to="491pt,-11.7499pt" o:allowincell="f" strokecolor="#000000" strokeweight="0.412pt"/>
            </w:pict>
          </mc:Fallback>
        </mc:AlternateContent>
      </w:r>
    </w:p>
    <w:p>
      <w:pPr>
        <w:spacing w:after="0" w:line="84" w:lineRule="exact"/>
        <w:rPr>
          <w:sz w:val="20"/>
          <w:szCs w:val="20"/>
          <w:color w:val="auto"/>
        </w:rPr>
      </w:pPr>
    </w:p>
    <w:tbl>
      <w:tblPr>
        <w:tblLayout w:type="fixed"/>
        <w:tblInd w:w="1160" w:type="dxa"/>
        <w:tblCellMar>
          <w:top w:w="0" w:type="dxa"/>
          <w:left w:w="0" w:type="dxa"/>
          <w:bottom w:w="0" w:type="dxa"/>
          <w:right w:w="0" w:type="dxa"/>
        </w:tblCellMar>
      </w:tblPr>
      <w:tr>
        <w:trPr>
          <w:trHeight w:val="247"/>
        </w:trPr>
        <w:tc>
          <w:tcPr>
            <w:tcW w:w="1100" w:type="dxa"/>
            <w:vAlign w:val="bottom"/>
            <w:tcBorders>
              <w:top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21"/>
                <w:szCs w:val="21"/>
                <w:b w:val="1"/>
                <w:bCs w:val="1"/>
                <w:color w:val="auto"/>
                <w:w w:val="95"/>
              </w:rPr>
              <w:t>NP</w:t>
            </w:r>
          </w:p>
        </w:tc>
        <w:tc>
          <w:tcPr>
            <w:tcW w:w="740" w:type="dxa"/>
            <w:vAlign w:val="bottom"/>
            <w:tcBorders>
              <w:top w:val="single" w:sz="8" w:color="auto"/>
              <w:bottom w:val="single" w:sz="8" w:color="auto"/>
            </w:tcBorders>
          </w:tcPr>
          <w:p>
            <w:pPr>
              <w:spacing w:after="0"/>
              <w:rPr>
                <w:sz w:val="21"/>
                <w:szCs w:val="21"/>
                <w:color w:val="auto"/>
              </w:rPr>
            </w:pPr>
          </w:p>
        </w:tc>
        <w:tc>
          <w:tcPr>
            <w:tcW w:w="3800" w:type="dxa"/>
            <w:vAlign w:val="bottom"/>
            <w:tcBorders>
              <w:top w:val="single" w:sz="8" w:color="auto"/>
              <w:bottom w:val="single" w:sz="8" w:color="auto"/>
              <w:right w:val="single" w:sz="8" w:color="auto"/>
            </w:tcBorders>
          </w:tcPr>
          <w:p>
            <w:pPr>
              <w:ind w:left="460"/>
              <w:spacing w:after="0"/>
              <w:rPr>
                <w:sz w:val="20"/>
                <w:szCs w:val="20"/>
                <w:color w:val="auto"/>
              </w:rPr>
            </w:pPr>
            <w:r>
              <w:rPr>
                <w:rFonts w:ascii="Arial" w:cs="Arial" w:eastAsia="Arial" w:hAnsi="Arial"/>
                <w:sz w:val="21"/>
                <w:szCs w:val="21"/>
                <w:b w:val="1"/>
                <w:bCs w:val="1"/>
                <w:color w:val="auto"/>
              </w:rPr>
              <w:t>Descrição do produto</w:t>
            </w:r>
          </w:p>
        </w:tc>
        <w:tc>
          <w:tcPr>
            <w:tcW w:w="3020" w:type="dxa"/>
            <w:vAlign w:val="bottom"/>
            <w:tcBorders>
              <w:top w:val="single" w:sz="8" w:color="auto"/>
              <w:bottom w:val="single" w:sz="8" w:color="auto"/>
            </w:tcBorders>
          </w:tcPr>
          <w:p>
            <w:pPr>
              <w:ind w:left="980"/>
              <w:spacing w:after="0"/>
              <w:rPr>
                <w:sz w:val="20"/>
                <w:szCs w:val="20"/>
                <w:color w:val="auto"/>
              </w:rPr>
            </w:pPr>
            <w:r>
              <w:rPr>
                <w:rFonts w:ascii="Arial" w:cs="Arial" w:eastAsia="Arial" w:hAnsi="Arial"/>
                <w:sz w:val="21"/>
                <w:szCs w:val="21"/>
                <w:b w:val="1"/>
                <w:bCs w:val="1"/>
                <w:color w:val="auto"/>
              </w:rPr>
              <w:t>Código HS</w:t>
            </w:r>
          </w:p>
        </w:tc>
      </w:tr>
      <w:tr>
        <w:trPr>
          <w:trHeight w:val="208"/>
        </w:trPr>
        <w:tc>
          <w:tcPr>
            <w:tcW w:w="110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7"/>
              </w:rPr>
              <w:t>XXII-01</w:t>
            </w:r>
          </w:p>
        </w:tc>
        <w:tc>
          <w:tcPr>
            <w:tcW w:w="4540" w:type="dxa"/>
            <w:vAlign w:val="bottom"/>
            <w:tcBorders>
              <w:right w:val="single" w:sz="8" w:color="auto"/>
            </w:tcBorders>
            <w:gridSpan w:val="2"/>
          </w:tcPr>
          <w:p>
            <w:pPr>
              <w:ind w:left="80"/>
              <w:spacing w:after="0" w:line="208" w:lineRule="exact"/>
              <w:rPr>
                <w:sz w:val="20"/>
                <w:szCs w:val="20"/>
                <w:color w:val="auto"/>
              </w:rPr>
            </w:pPr>
            <w:r>
              <w:rPr>
                <w:rFonts w:ascii="Arial" w:cs="Arial" w:eastAsia="Arial" w:hAnsi="Arial"/>
                <w:sz w:val="21"/>
                <w:szCs w:val="21"/>
                <w:color w:val="auto"/>
              </w:rPr>
              <w:t>Electrónicos e produtos eléctricos de segunda</w:t>
            </w:r>
          </w:p>
        </w:tc>
        <w:tc>
          <w:tcPr>
            <w:tcW w:w="3020" w:type="dxa"/>
            <w:vAlign w:val="bottom"/>
          </w:tcPr>
          <w:p>
            <w:pPr>
              <w:spacing w:after="0"/>
              <w:rPr>
                <w:sz w:val="18"/>
                <w:szCs w:val="18"/>
                <w:color w:val="auto"/>
              </w:rPr>
            </w:pPr>
          </w:p>
        </w:tc>
      </w:tr>
      <w:tr>
        <w:trPr>
          <w:trHeight w:val="274"/>
        </w:trPr>
        <w:tc>
          <w:tcPr>
            <w:tcW w:w="1100" w:type="dxa"/>
            <w:vAlign w:val="bottom"/>
            <w:tcBorders>
              <w:right w:val="single" w:sz="8" w:color="auto"/>
            </w:tcBorders>
          </w:tcPr>
          <w:p>
            <w:pPr>
              <w:spacing w:after="0"/>
              <w:rPr>
                <w:sz w:val="23"/>
                <w:szCs w:val="23"/>
                <w:color w:val="auto"/>
              </w:rPr>
            </w:pPr>
          </w:p>
        </w:tc>
        <w:tc>
          <w:tcPr>
            <w:tcW w:w="4540" w:type="dxa"/>
            <w:vAlign w:val="bottom"/>
            <w:tcBorders>
              <w:right w:val="single" w:sz="8" w:color="auto"/>
            </w:tcBorders>
            <w:gridSpan w:val="2"/>
          </w:tcPr>
          <w:p>
            <w:pPr>
              <w:ind w:left="80"/>
              <w:spacing w:after="0"/>
              <w:rPr>
                <w:sz w:val="20"/>
                <w:szCs w:val="20"/>
                <w:color w:val="auto"/>
              </w:rPr>
            </w:pPr>
            <w:r>
              <w:rPr>
                <w:rFonts w:ascii="Arial" w:cs="Arial" w:eastAsia="Arial" w:hAnsi="Arial"/>
                <w:sz w:val="21"/>
                <w:szCs w:val="21"/>
                <w:color w:val="auto"/>
              </w:rPr>
              <w:t>mão e recondicionados</w:t>
            </w:r>
          </w:p>
        </w:tc>
        <w:tc>
          <w:tcPr>
            <w:tcW w:w="3020" w:type="dxa"/>
            <w:vAlign w:val="bottom"/>
          </w:tcPr>
          <w:p>
            <w:pPr>
              <w:spacing w:after="0"/>
              <w:rPr>
                <w:sz w:val="23"/>
                <w:szCs w:val="23"/>
                <w:color w:val="auto"/>
              </w:rPr>
            </w:pPr>
          </w:p>
        </w:tc>
      </w:tr>
      <w:tr>
        <w:trPr>
          <w:trHeight w:val="219"/>
        </w:trPr>
        <w:tc>
          <w:tcPr>
            <w:tcW w:w="1100" w:type="dxa"/>
            <w:vAlign w:val="bottom"/>
            <w:tcBorders>
              <w:bottom w:val="single" w:sz="8" w:color="auto"/>
              <w:right w:val="single" w:sz="8" w:color="auto"/>
            </w:tcBorders>
          </w:tcPr>
          <w:p>
            <w:pPr>
              <w:spacing w:after="0"/>
              <w:rPr>
                <w:sz w:val="19"/>
                <w:szCs w:val="19"/>
                <w:color w:val="auto"/>
              </w:rPr>
            </w:pPr>
          </w:p>
        </w:tc>
        <w:tc>
          <w:tcPr>
            <w:tcW w:w="4540" w:type="dxa"/>
            <w:vAlign w:val="bottom"/>
            <w:tcBorders>
              <w:bottom w:val="single" w:sz="8" w:color="auto"/>
              <w:right w:val="single" w:sz="8" w:color="auto"/>
            </w:tcBorders>
            <w:gridSpan w:val="2"/>
          </w:tcPr>
          <w:p>
            <w:pPr>
              <w:spacing w:after="0"/>
              <w:rPr>
                <w:sz w:val="19"/>
                <w:szCs w:val="19"/>
                <w:color w:val="auto"/>
              </w:rPr>
            </w:pPr>
          </w:p>
        </w:tc>
        <w:tc>
          <w:tcPr>
            <w:tcW w:w="3020" w:type="dxa"/>
            <w:vAlign w:val="bottom"/>
            <w:tcBorders>
              <w:bottom w:val="single" w:sz="8" w:color="auto"/>
            </w:tcBorders>
          </w:tcPr>
          <w:p>
            <w:pPr>
              <w:spacing w:after="0"/>
              <w:rPr>
                <w:sz w:val="19"/>
                <w:szCs w:val="19"/>
                <w:color w:val="auto"/>
              </w:rPr>
            </w:pPr>
          </w:p>
        </w:tc>
      </w:tr>
      <w:tr>
        <w:trPr>
          <w:trHeight w:val="208"/>
        </w:trPr>
        <w:tc>
          <w:tcPr>
            <w:tcW w:w="1100" w:type="dxa"/>
            <w:vAlign w:val="bottom"/>
            <w:tcBorders>
              <w:right w:val="single" w:sz="8" w:color="auto"/>
            </w:tcBorders>
          </w:tcPr>
          <w:p>
            <w:pPr>
              <w:jc w:val="center"/>
              <w:spacing w:after="0" w:line="208" w:lineRule="exact"/>
              <w:rPr>
                <w:sz w:val="20"/>
                <w:szCs w:val="20"/>
                <w:color w:val="auto"/>
              </w:rPr>
            </w:pPr>
            <w:r>
              <w:rPr>
                <w:rFonts w:ascii="Arial" w:cs="Arial" w:eastAsia="Arial" w:hAnsi="Arial"/>
                <w:sz w:val="21"/>
                <w:szCs w:val="21"/>
                <w:b w:val="1"/>
                <w:bCs w:val="1"/>
                <w:color w:val="auto"/>
                <w:w w:val="97"/>
              </w:rPr>
              <w:t>XXII-02</w:t>
            </w:r>
          </w:p>
        </w:tc>
        <w:tc>
          <w:tcPr>
            <w:tcW w:w="4540" w:type="dxa"/>
            <w:vAlign w:val="bottom"/>
            <w:tcBorders>
              <w:right w:val="single" w:sz="8" w:color="auto"/>
            </w:tcBorders>
            <w:gridSpan w:val="2"/>
          </w:tcPr>
          <w:p>
            <w:pPr>
              <w:ind w:left="80"/>
              <w:spacing w:after="0" w:line="208" w:lineRule="exact"/>
              <w:rPr>
                <w:sz w:val="20"/>
                <w:szCs w:val="20"/>
                <w:color w:val="auto"/>
              </w:rPr>
            </w:pPr>
            <w:r>
              <w:rPr>
                <w:rFonts w:ascii="Arial" w:cs="Arial" w:eastAsia="Arial" w:hAnsi="Arial"/>
                <w:sz w:val="21"/>
                <w:szCs w:val="21"/>
                <w:color w:val="auto"/>
              </w:rPr>
              <w:t>Veículos Usados incluindo os descritos nos</w:t>
            </w:r>
          </w:p>
        </w:tc>
        <w:tc>
          <w:tcPr>
            <w:tcW w:w="3020" w:type="dxa"/>
            <w:vAlign w:val="bottom"/>
          </w:tcPr>
          <w:p>
            <w:pPr>
              <w:ind w:left="80"/>
              <w:spacing w:after="0" w:line="208" w:lineRule="exact"/>
              <w:rPr>
                <w:sz w:val="20"/>
                <w:szCs w:val="20"/>
                <w:color w:val="auto"/>
              </w:rPr>
            </w:pPr>
            <w:r>
              <w:rPr>
                <w:rFonts w:ascii="Arial" w:cs="Arial" w:eastAsia="Arial" w:hAnsi="Arial"/>
                <w:sz w:val="21"/>
                <w:szCs w:val="21"/>
                <w:color w:val="auto"/>
              </w:rPr>
              <w:t>8701, 8702, 8703, 8704, 8705</w:t>
            </w:r>
          </w:p>
        </w:tc>
      </w:tr>
      <w:tr>
        <w:trPr>
          <w:trHeight w:val="237"/>
        </w:trPr>
        <w:tc>
          <w:tcPr>
            <w:tcW w:w="110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códigos HS:</w:t>
            </w:r>
          </w:p>
        </w:tc>
        <w:tc>
          <w:tcPr>
            <w:tcW w:w="3020" w:type="dxa"/>
            <w:vAlign w:val="bottom"/>
          </w:tcPr>
          <w:p>
            <w:pPr>
              <w:spacing w:after="0"/>
              <w:rPr>
                <w:sz w:val="20"/>
                <w:szCs w:val="20"/>
                <w:color w:val="auto"/>
              </w:rPr>
            </w:pPr>
          </w:p>
        </w:tc>
      </w:tr>
      <w:tr>
        <w:trPr>
          <w:trHeight w:val="237"/>
        </w:trPr>
        <w:tc>
          <w:tcPr>
            <w:tcW w:w="1100" w:type="dxa"/>
            <w:vAlign w:val="bottom"/>
            <w:tcBorders>
              <w:right w:val="single" w:sz="8" w:color="auto"/>
            </w:tcBorders>
          </w:tcPr>
          <w:p>
            <w:pPr>
              <w:spacing w:after="0"/>
              <w:rPr>
                <w:sz w:val="20"/>
                <w:szCs w:val="20"/>
                <w:color w:val="auto"/>
              </w:rPr>
            </w:pPr>
          </w:p>
        </w:tc>
        <w:tc>
          <w:tcPr>
            <w:tcW w:w="740" w:type="dxa"/>
            <w:vAlign w:val="bottom"/>
          </w:tcPr>
          <w:p>
            <w:pPr>
              <w:ind w:left="80"/>
              <w:spacing w:after="0" w:line="237" w:lineRule="exact"/>
              <w:rPr>
                <w:sz w:val="20"/>
                <w:szCs w:val="20"/>
                <w:color w:val="auto"/>
              </w:rPr>
            </w:pPr>
            <w:r>
              <w:rPr>
                <w:rFonts w:ascii="Arial" w:cs="Arial" w:eastAsia="Arial" w:hAnsi="Arial"/>
                <w:sz w:val="21"/>
                <w:szCs w:val="21"/>
                <w:color w:val="auto"/>
                <w:w w:val="98"/>
              </w:rPr>
              <w:t>● 8701</w:t>
            </w:r>
          </w:p>
        </w:tc>
        <w:tc>
          <w:tcPr>
            <w:tcW w:w="3800" w:type="dxa"/>
            <w:vAlign w:val="bottom"/>
            <w:tcBorders>
              <w:right w:val="single" w:sz="8" w:color="auto"/>
            </w:tcBorders>
          </w:tcPr>
          <w:p>
            <w:pPr>
              <w:ind w:left="40"/>
              <w:spacing w:after="0" w:line="237" w:lineRule="exact"/>
              <w:rPr>
                <w:sz w:val="20"/>
                <w:szCs w:val="20"/>
                <w:color w:val="auto"/>
              </w:rPr>
            </w:pPr>
            <w:r>
              <w:rPr>
                <w:rFonts w:ascii="Arial" w:cs="Arial" w:eastAsia="Arial" w:hAnsi="Arial"/>
                <w:sz w:val="21"/>
                <w:szCs w:val="21"/>
                <w:color w:val="auto"/>
              </w:rPr>
              <w:t>- Tractores.</w:t>
            </w:r>
          </w:p>
        </w:tc>
        <w:tc>
          <w:tcPr>
            <w:tcW w:w="3020" w:type="dxa"/>
            <w:vAlign w:val="bottom"/>
          </w:tcPr>
          <w:p>
            <w:pPr>
              <w:spacing w:after="0"/>
              <w:rPr>
                <w:sz w:val="20"/>
                <w:szCs w:val="20"/>
                <w:color w:val="auto"/>
              </w:rPr>
            </w:pPr>
          </w:p>
        </w:tc>
      </w:tr>
      <w:tr>
        <w:trPr>
          <w:trHeight w:val="237"/>
        </w:trPr>
        <w:tc>
          <w:tcPr>
            <w:tcW w:w="110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 8702, 8703 - Veículos de passageiros.</w:t>
            </w:r>
          </w:p>
        </w:tc>
        <w:tc>
          <w:tcPr>
            <w:tcW w:w="3020" w:type="dxa"/>
            <w:vAlign w:val="bottom"/>
          </w:tcPr>
          <w:p>
            <w:pPr>
              <w:spacing w:after="0"/>
              <w:rPr>
                <w:sz w:val="20"/>
                <w:szCs w:val="20"/>
                <w:color w:val="auto"/>
              </w:rPr>
            </w:pPr>
          </w:p>
        </w:tc>
      </w:tr>
      <w:tr>
        <w:trPr>
          <w:trHeight w:val="237"/>
        </w:trPr>
        <w:tc>
          <w:tcPr>
            <w:tcW w:w="1100" w:type="dxa"/>
            <w:vAlign w:val="bottom"/>
            <w:tcBorders>
              <w:right w:val="single" w:sz="8" w:color="auto"/>
            </w:tcBorders>
          </w:tcPr>
          <w:p>
            <w:pPr>
              <w:spacing w:after="0"/>
              <w:rPr>
                <w:sz w:val="20"/>
                <w:szCs w:val="20"/>
                <w:color w:val="auto"/>
              </w:rPr>
            </w:pPr>
          </w:p>
        </w:tc>
        <w:tc>
          <w:tcPr>
            <w:tcW w:w="740" w:type="dxa"/>
            <w:vAlign w:val="bottom"/>
          </w:tcPr>
          <w:p>
            <w:pPr>
              <w:ind w:left="80"/>
              <w:spacing w:after="0" w:line="237" w:lineRule="exact"/>
              <w:rPr>
                <w:sz w:val="20"/>
                <w:szCs w:val="20"/>
                <w:color w:val="auto"/>
              </w:rPr>
            </w:pPr>
            <w:r>
              <w:rPr>
                <w:rFonts w:ascii="Arial" w:cs="Arial" w:eastAsia="Arial" w:hAnsi="Arial"/>
                <w:sz w:val="21"/>
                <w:szCs w:val="21"/>
                <w:color w:val="auto"/>
                <w:w w:val="98"/>
              </w:rPr>
              <w:t>● 8704</w:t>
            </w:r>
          </w:p>
        </w:tc>
        <w:tc>
          <w:tcPr>
            <w:tcW w:w="3800" w:type="dxa"/>
            <w:vAlign w:val="bottom"/>
            <w:tcBorders>
              <w:right w:val="single" w:sz="8" w:color="auto"/>
            </w:tcBorders>
          </w:tcPr>
          <w:p>
            <w:pPr>
              <w:ind w:left="40"/>
              <w:spacing w:after="0" w:line="237" w:lineRule="exact"/>
              <w:rPr>
                <w:sz w:val="20"/>
                <w:szCs w:val="20"/>
                <w:color w:val="auto"/>
              </w:rPr>
            </w:pPr>
            <w:r>
              <w:rPr>
                <w:rFonts w:ascii="Arial" w:cs="Arial" w:eastAsia="Arial" w:hAnsi="Arial"/>
                <w:sz w:val="21"/>
                <w:szCs w:val="21"/>
                <w:color w:val="auto"/>
              </w:rPr>
              <w:t>- Para transporte de mercadorias.</w:t>
            </w:r>
          </w:p>
        </w:tc>
        <w:tc>
          <w:tcPr>
            <w:tcW w:w="3020" w:type="dxa"/>
            <w:vAlign w:val="bottom"/>
          </w:tcPr>
          <w:p>
            <w:pPr>
              <w:spacing w:after="0"/>
              <w:rPr>
                <w:sz w:val="20"/>
                <w:szCs w:val="20"/>
                <w:color w:val="auto"/>
              </w:rPr>
            </w:pPr>
          </w:p>
        </w:tc>
      </w:tr>
      <w:tr>
        <w:trPr>
          <w:trHeight w:val="237"/>
        </w:trPr>
        <w:tc>
          <w:tcPr>
            <w:tcW w:w="1100" w:type="dxa"/>
            <w:vAlign w:val="bottom"/>
            <w:tcBorders>
              <w:right w:val="single" w:sz="8" w:color="auto"/>
            </w:tcBorders>
          </w:tcPr>
          <w:p>
            <w:pPr>
              <w:spacing w:after="0"/>
              <w:rPr>
                <w:sz w:val="20"/>
                <w:szCs w:val="20"/>
                <w:color w:val="auto"/>
              </w:rPr>
            </w:pPr>
          </w:p>
        </w:tc>
        <w:tc>
          <w:tcPr>
            <w:tcW w:w="740" w:type="dxa"/>
            <w:vAlign w:val="bottom"/>
          </w:tcPr>
          <w:p>
            <w:pPr>
              <w:ind w:left="80"/>
              <w:spacing w:after="0" w:line="237" w:lineRule="exact"/>
              <w:rPr>
                <w:sz w:val="20"/>
                <w:szCs w:val="20"/>
                <w:color w:val="auto"/>
              </w:rPr>
            </w:pPr>
            <w:r>
              <w:rPr>
                <w:rFonts w:ascii="Arial" w:cs="Arial" w:eastAsia="Arial" w:hAnsi="Arial"/>
                <w:sz w:val="21"/>
                <w:szCs w:val="21"/>
                <w:color w:val="auto"/>
                <w:w w:val="98"/>
              </w:rPr>
              <w:t>● 8705</w:t>
            </w:r>
          </w:p>
        </w:tc>
        <w:tc>
          <w:tcPr>
            <w:tcW w:w="3800" w:type="dxa"/>
            <w:vAlign w:val="bottom"/>
            <w:tcBorders>
              <w:right w:val="single" w:sz="8" w:color="auto"/>
            </w:tcBorders>
          </w:tcPr>
          <w:p>
            <w:pPr>
              <w:ind w:left="40"/>
              <w:spacing w:after="0" w:line="237" w:lineRule="exact"/>
              <w:rPr>
                <w:sz w:val="20"/>
                <w:szCs w:val="20"/>
                <w:color w:val="auto"/>
              </w:rPr>
            </w:pPr>
            <w:r>
              <w:rPr>
                <w:rFonts w:ascii="Arial" w:cs="Arial" w:eastAsia="Arial" w:hAnsi="Arial"/>
                <w:sz w:val="21"/>
                <w:szCs w:val="21"/>
                <w:color w:val="auto"/>
              </w:rPr>
              <w:t>- Veículos motorizados para fins</w:t>
            </w:r>
          </w:p>
        </w:tc>
        <w:tc>
          <w:tcPr>
            <w:tcW w:w="3020" w:type="dxa"/>
            <w:vAlign w:val="bottom"/>
          </w:tcPr>
          <w:p>
            <w:pPr>
              <w:spacing w:after="0"/>
              <w:rPr>
                <w:sz w:val="20"/>
                <w:szCs w:val="20"/>
                <w:color w:val="auto"/>
              </w:rPr>
            </w:pPr>
          </w:p>
        </w:tc>
      </w:tr>
      <w:tr>
        <w:trPr>
          <w:trHeight w:val="237"/>
        </w:trPr>
        <w:tc>
          <w:tcPr>
            <w:tcW w:w="1100" w:type="dxa"/>
            <w:vAlign w:val="bottom"/>
            <w:tcBorders>
              <w:right w:val="single" w:sz="8" w:color="auto"/>
            </w:tcBorders>
          </w:tcPr>
          <w:p>
            <w:pPr>
              <w:spacing w:after="0"/>
              <w:rPr>
                <w:sz w:val="20"/>
                <w:szCs w:val="20"/>
                <w:color w:val="auto"/>
              </w:rPr>
            </w:pPr>
          </w:p>
        </w:tc>
        <w:tc>
          <w:tcPr>
            <w:tcW w:w="4540" w:type="dxa"/>
            <w:vAlign w:val="bottom"/>
            <w:tcBorders>
              <w:right w:val="single" w:sz="8" w:color="auto"/>
            </w:tcBorders>
            <w:gridSpan w:val="2"/>
          </w:tcPr>
          <w:p>
            <w:pPr>
              <w:ind w:left="80"/>
              <w:spacing w:after="0" w:line="237" w:lineRule="exact"/>
              <w:rPr>
                <w:sz w:val="20"/>
                <w:szCs w:val="20"/>
                <w:color w:val="auto"/>
              </w:rPr>
            </w:pPr>
            <w:r>
              <w:rPr>
                <w:rFonts w:ascii="Arial" w:cs="Arial" w:eastAsia="Arial" w:hAnsi="Arial"/>
                <w:sz w:val="21"/>
                <w:szCs w:val="21"/>
                <w:color w:val="auto"/>
              </w:rPr>
              <w:t>especiais (camiões-guindaste, veículos de</w:t>
            </w:r>
          </w:p>
        </w:tc>
        <w:tc>
          <w:tcPr>
            <w:tcW w:w="3020" w:type="dxa"/>
            <w:vAlign w:val="bottom"/>
          </w:tcPr>
          <w:p>
            <w:pPr>
              <w:spacing w:after="0"/>
              <w:rPr>
                <w:sz w:val="20"/>
                <w:szCs w:val="20"/>
                <w:color w:val="auto"/>
              </w:rPr>
            </w:pPr>
          </w:p>
        </w:tc>
      </w:tr>
      <w:tr>
        <w:trPr>
          <w:trHeight w:val="255"/>
        </w:trPr>
        <w:tc>
          <w:tcPr>
            <w:tcW w:w="1100" w:type="dxa"/>
            <w:vAlign w:val="bottom"/>
            <w:tcBorders>
              <w:bottom w:val="single" w:sz="8" w:color="auto"/>
              <w:right w:val="single" w:sz="8" w:color="auto"/>
            </w:tcBorders>
          </w:tcPr>
          <w:p>
            <w:pPr>
              <w:spacing w:after="0"/>
              <w:rPr>
                <w:sz w:val="22"/>
                <w:szCs w:val="22"/>
                <w:color w:val="auto"/>
              </w:rPr>
            </w:pPr>
          </w:p>
        </w:tc>
        <w:tc>
          <w:tcPr>
            <w:tcW w:w="4540" w:type="dxa"/>
            <w:vAlign w:val="bottom"/>
            <w:tcBorders>
              <w:bottom w:val="single" w:sz="8" w:color="auto"/>
              <w:right w:val="single" w:sz="8" w:color="auto"/>
            </w:tcBorders>
            <w:gridSpan w:val="2"/>
          </w:tcPr>
          <w:p>
            <w:pPr>
              <w:ind w:left="80"/>
              <w:spacing w:after="0"/>
              <w:rPr>
                <w:sz w:val="20"/>
                <w:szCs w:val="20"/>
                <w:color w:val="auto"/>
              </w:rPr>
            </w:pPr>
            <w:r>
              <w:rPr>
                <w:rFonts w:ascii="Arial" w:cs="Arial" w:eastAsia="Arial" w:hAnsi="Arial"/>
                <w:sz w:val="21"/>
                <w:szCs w:val="21"/>
                <w:color w:val="auto"/>
              </w:rPr>
              <w:t>combate a incêndio, camiões betoneira, etc.)</w:t>
            </w:r>
          </w:p>
        </w:tc>
        <w:tc>
          <w:tcPr>
            <w:tcW w:w="3020" w:type="dxa"/>
            <w:vAlign w:val="bottom"/>
            <w:tcBorders>
              <w:bottom w:val="single" w:sz="8" w:color="auto"/>
            </w:tcBorders>
          </w:tcPr>
          <w:p>
            <w:pPr>
              <w:spacing w:after="0"/>
              <w:rPr>
                <w:sz w:val="22"/>
                <w:szCs w:val="22"/>
                <w:color w:val="auto"/>
              </w:rPr>
            </w:pPr>
          </w:p>
        </w:tc>
      </w:tr>
      <w:tr>
        <w:trPr>
          <w:trHeight w:val="226"/>
        </w:trPr>
        <w:tc>
          <w:tcPr>
            <w:tcW w:w="1100" w:type="dxa"/>
            <w:vAlign w:val="bottom"/>
            <w:tcBorders>
              <w:bottom w:val="single" w:sz="8" w:color="auto"/>
              <w:right w:val="single" w:sz="8" w:color="auto"/>
            </w:tcBorders>
          </w:tcPr>
          <w:p>
            <w:pPr>
              <w:jc w:val="center"/>
              <w:spacing w:after="0" w:line="226" w:lineRule="exact"/>
              <w:rPr>
                <w:sz w:val="20"/>
                <w:szCs w:val="20"/>
                <w:color w:val="auto"/>
              </w:rPr>
            </w:pPr>
            <w:r>
              <w:rPr>
                <w:rFonts w:ascii="Arial" w:cs="Arial" w:eastAsia="Arial" w:hAnsi="Arial"/>
                <w:sz w:val="21"/>
                <w:szCs w:val="21"/>
                <w:b w:val="1"/>
                <w:bCs w:val="1"/>
                <w:color w:val="auto"/>
                <w:w w:val="97"/>
              </w:rPr>
              <w:t>XXII-03</w:t>
            </w:r>
          </w:p>
        </w:tc>
        <w:tc>
          <w:tcPr>
            <w:tcW w:w="4540" w:type="dxa"/>
            <w:vAlign w:val="bottom"/>
            <w:tcBorders>
              <w:bottom w:val="single" w:sz="8" w:color="auto"/>
              <w:right w:val="single" w:sz="8" w:color="auto"/>
            </w:tcBorders>
            <w:gridSpan w:val="2"/>
          </w:tcPr>
          <w:p>
            <w:pPr>
              <w:ind w:left="80"/>
              <w:spacing w:after="0" w:line="226" w:lineRule="exact"/>
              <w:rPr>
                <w:sz w:val="20"/>
                <w:szCs w:val="20"/>
                <w:color w:val="auto"/>
              </w:rPr>
            </w:pPr>
            <w:r>
              <w:rPr>
                <w:rFonts w:ascii="Arial" w:cs="Arial" w:eastAsia="Arial" w:hAnsi="Arial"/>
                <w:sz w:val="21"/>
                <w:szCs w:val="21"/>
                <w:color w:val="auto"/>
              </w:rPr>
              <w:t>Pneumáticos usados</w:t>
            </w:r>
          </w:p>
        </w:tc>
        <w:tc>
          <w:tcPr>
            <w:tcW w:w="3020" w:type="dxa"/>
            <w:vAlign w:val="bottom"/>
            <w:tcBorders>
              <w:bottom w:val="single" w:sz="8" w:color="auto"/>
            </w:tcBorders>
          </w:tcPr>
          <w:p>
            <w:pPr>
              <w:ind w:left="80"/>
              <w:spacing w:after="0" w:line="226" w:lineRule="exact"/>
              <w:rPr>
                <w:sz w:val="20"/>
                <w:szCs w:val="20"/>
                <w:color w:val="auto"/>
              </w:rPr>
            </w:pPr>
            <w:r>
              <w:rPr>
                <w:rFonts w:ascii="Arial" w:cs="Arial" w:eastAsia="Arial" w:hAnsi="Arial"/>
                <w:sz w:val="21"/>
                <w:szCs w:val="21"/>
                <w:color w:val="auto"/>
              </w:rPr>
              <w:t>4012</w:t>
            </w:r>
          </w:p>
        </w:tc>
      </w:tr>
    </w:tbl>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1240"/>
        <w:spacing w:after="0"/>
        <w:rPr>
          <w:sz w:val="20"/>
          <w:szCs w:val="20"/>
          <w:color w:val="auto"/>
        </w:rPr>
      </w:pPr>
      <w:r>
        <w:rPr>
          <w:rFonts w:ascii="Arial" w:cs="Arial" w:eastAsia="Arial" w:hAnsi="Arial"/>
          <w:sz w:val="19"/>
          <w:szCs w:val="19"/>
          <w:b w:val="1"/>
          <w:bCs w:val="1"/>
          <w:color w:val="auto"/>
        </w:rPr>
        <w:t>Abreviaturas</w:t>
      </w:r>
    </w:p>
    <w:p>
      <w:pPr>
        <w:spacing w:after="0" w:line="108" w:lineRule="exact"/>
        <w:rPr>
          <w:sz w:val="20"/>
          <w:szCs w:val="20"/>
          <w:color w:val="auto"/>
        </w:rPr>
      </w:pPr>
    </w:p>
    <w:p>
      <w:pPr>
        <w:ind w:left="1240"/>
        <w:spacing w:after="0"/>
        <w:rPr>
          <w:sz w:val="20"/>
          <w:szCs w:val="20"/>
          <w:color w:val="auto"/>
        </w:rPr>
      </w:pPr>
      <w:r>
        <w:rPr>
          <w:rFonts w:ascii="Arial" w:cs="Arial" w:eastAsia="Arial" w:hAnsi="Arial"/>
          <w:sz w:val="19"/>
          <w:szCs w:val="19"/>
          <w:b w:val="1"/>
          <w:bCs w:val="1"/>
          <w:color w:val="auto"/>
        </w:rPr>
        <w:t>HS</w:t>
      </w:r>
      <w:r>
        <w:rPr>
          <w:rFonts w:ascii="Arial" w:cs="Arial" w:eastAsia="Arial" w:hAnsi="Arial"/>
          <w:sz w:val="19"/>
          <w:szCs w:val="19"/>
          <w:color w:val="auto"/>
        </w:rPr>
        <w:t>- Sistema harmonizado (vigente na Organização Mundial das Alfândegas)</w:t>
      </w:r>
    </w:p>
    <w:p>
      <w:pPr>
        <w:spacing w:after="0" w:line="108" w:lineRule="exact"/>
        <w:rPr>
          <w:sz w:val="20"/>
          <w:szCs w:val="20"/>
          <w:color w:val="auto"/>
        </w:rPr>
      </w:pPr>
    </w:p>
    <w:p>
      <w:pPr>
        <w:ind w:left="1240"/>
        <w:spacing w:after="0"/>
        <w:rPr>
          <w:sz w:val="20"/>
          <w:szCs w:val="20"/>
          <w:color w:val="auto"/>
        </w:rPr>
      </w:pPr>
      <w:r>
        <w:rPr>
          <w:rFonts w:ascii="Arial" w:cs="Arial" w:eastAsia="Arial" w:hAnsi="Arial"/>
          <w:sz w:val="19"/>
          <w:szCs w:val="19"/>
          <w:b w:val="1"/>
          <w:bCs w:val="1"/>
          <w:color w:val="auto"/>
        </w:rPr>
        <w:t xml:space="preserve">NP </w:t>
      </w:r>
      <w:r>
        <w:rPr>
          <w:rFonts w:ascii="Arial" w:cs="Arial" w:eastAsia="Arial" w:hAnsi="Arial"/>
          <w:sz w:val="19"/>
          <w:szCs w:val="19"/>
          <w:color w:val="auto"/>
        </w:rPr>
        <w:t>–</w:t>
      </w:r>
      <w:r>
        <w:rPr>
          <w:rFonts w:ascii="Arial" w:cs="Arial" w:eastAsia="Arial" w:hAnsi="Arial"/>
          <w:sz w:val="19"/>
          <w:szCs w:val="19"/>
          <w:b w:val="1"/>
          <w:bCs w:val="1"/>
          <w:color w:val="auto"/>
        </w:rPr>
        <w:t xml:space="preserve"> </w:t>
      </w:r>
      <w:r>
        <w:rPr>
          <w:rFonts w:ascii="Arial" w:cs="Arial" w:eastAsia="Arial" w:hAnsi="Arial"/>
          <w:sz w:val="19"/>
          <w:szCs w:val="19"/>
          <w:color w:val="auto"/>
        </w:rPr>
        <w:t>Número do Produto</w:t>
      </w:r>
    </w:p>
    <w:p>
      <w:pPr>
        <w:spacing w:after="0" w:line="108" w:lineRule="exact"/>
        <w:rPr>
          <w:sz w:val="20"/>
          <w:szCs w:val="20"/>
          <w:color w:val="auto"/>
        </w:rPr>
      </w:pPr>
    </w:p>
    <w:p>
      <w:pPr>
        <w:ind w:left="1240"/>
        <w:spacing w:after="0"/>
        <w:rPr>
          <w:sz w:val="20"/>
          <w:szCs w:val="20"/>
          <w:color w:val="auto"/>
        </w:rPr>
      </w:pPr>
      <w:r>
        <w:rPr>
          <w:rFonts w:ascii="Arial" w:cs="Arial" w:eastAsia="Arial" w:hAnsi="Arial"/>
          <w:sz w:val="19"/>
          <w:szCs w:val="19"/>
          <w:b w:val="1"/>
          <w:bCs w:val="1"/>
          <w:color w:val="auto"/>
        </w:rPr>
        <w:t xml:space="preserve">EPI </w:t>
      </w:r>
      <w:r>
        <w:rPr>
          <w:rFonts w:ascii="Arial" w:cs="Arial" w:eastAsia="Arial" w:hAnsi="Arial"/>
          <w:sz w:val="19"/>
          <w:szCs w:val="19"/>
          <w:color w:val="auto"/>
        </w:rPr>
        <w:t>–</w:t>
      </w:r>
      <w:r>
        <w:rPr>
          <w:rFonts w:ascii="Arial" w:cs="Arial" w:eastAsia="Arial" w:hAnsi="Arial"/>
          <w:sz w:val="19"/>
          <w:szCs w:val="19"/>
          <w:b w:val="1"/>
          <w:bCs w:val="1"/>
          <w:color w:val="auto"/>
        </w:rPr>
        <w:t xml:space="preserve"> </w:t>
      </w:r>
      <w:r>
        <w:rPr>
          <w:rFonts w:ascii="Arial" w:cs="Arial" w:eastAsia="Arial" w:hAnsi="Arial"/>
          <w:sz w:val="19"/>
          <w:szCs w:val="19"/>
          <w:color w:val="auto"/>
        </w:rPr>
        <w:t>Equipamento de Protecção Individuial</w:t>
      </w:r>
    </w:p>
    <w:p>
      <w:pPr>
        <w:spacing w:after="0" w:line="110" w:lineRule="exact"/>
        <w:rPr>
          <w:sz w:val="20"/>
          <w:szCs w:val="20"/>
          <w:color w:val="auto"/>
        </w:rPr>
      </w:pPr>
    </w:p>
    <w:p>
      <w:pPr>
        <w:ind w:left="1240"/>
        <w:spacing w:after="0"/>
        <w:rPr>
          <w:sz w:val="20"/>
          <w:szCs w:val="20"/>
          <w:color w:val="auto"/>
        </w:rPr>
      </w:pPr>
      <w:r>
        <w:rPr>
          <w:rFonts w:ascii="Arial" w:cs="Arial" w:eastAsia="Arial" w:hAnsi="Arial"/>
          <w:sz w:val="19"/>
          <w:szCs w:val="19"/>
          <w:b w:val="1"/>
          <w:bCs w:val="1"/>
          <w:color w:val="auto"/>
        </w:rPr>
        <w:t xml:space="preserve">GLP </w:t>
      </w:r>
      <w:r>
        <w:rPr>
          <w:rFonts w:ascii="Arial" w:cs="Arial" w:eastAsia="Arial" w:hAnsi="Arial"/>
          <w:sz w:val="19"/>
          <w:szCs w:val="19"/>
          <w:color w:val="auto"/>
        </w:rPr>
        <w:t>–</w:t>
      </w:r>
      <w:r>
        <w:rPr>
          <w:rFonts w:ascii="Arial" w:cs="Arial" w:eastAsia="Arial" w:hAnsi="Arial"/>
          <w:sz w:val="19"/>
          <w:szCs w:val="19"/>
          <w:b w:val="1"/>
          <w:bCs w:val="1"/>
          <w:color w:val="auto"/>
        </w:rPr>
        <w:t xml:space="preserve"> </w:t>
      </w:r>
      <w:r>
        <w:rPr>
          <w:rFonts w:ascii="Arial" w:cs="Arial" w:eastAsia="Arial" w:hAnsi="Arial"/>
          <w:sz w:val="19"/>
          <w:szCs w:val="19"/>
          <w:color w:val="auto"/>
        </w:rPr>
        <w:t>Gás Liquefeito de Petróleo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Preço — 150,00 MT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1797050</wp:posOffset>
                </wp:positionH>
                <wp:positionV relativeFrom="paragraph">
                  <wp:posOffset>97790</wp:posOffset>
                </wp:positionV>
                <wp:extent cx="3125470"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125470" cy="4763"/>
                        </a:xfrm>
                        <a:prstGeom prst="line">
                          <a:avLst/>
                        </a:prstGeom>
                        <a:solidFill>
                          <a:srgbClr val="FFFFFF"/>
                        </a:solidFill>
                        <a:ln w="6350">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1.5pt,7.7pt" to="387.6pt,7.7pt" o:allowincell="f" strokecolor="#000000" strokeweight="0.5pt"/>
            </w:pict>
          </mc:Fallback>
        </mc:AlternateContent>
      </w:r>
    </w:p>
    <w:p>
      <w:pPr>
        <w:spacing w:after="0" w:line="29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w:t>
      </w:r>
      <w:r>
        <w:rPr>
          <w:rFonts w:ascii="Times New Roman" w:cs="Times New Roman" w:eastAsia="Times New Roman" w:hAnsi="Times New Roman"/>
          <w:sz w:val="14"/>
          <w:szCs w:val="14"/>
          <w:color w:val="auto"/>
        </w:rPr>
        <w:t>MPRENSA</w:t>
      </w:r>
      <w:r>
        <w:rPr>
          <w:rFonts w:ascii="Times New Roman" w:cs="Times New Roman" w:eastAsia="Times New Roman" w:hAnsi="Times New Roman"/>
          <w:sz w:val="18"/>
          <w:szCs w:val="18"/>
          <w:color w:val="auto"/>
        </w:rPr>
        <w:t xml:space="preserve"> N</w:t>
      </w:r>
      <w:r>
        <w:rPr>
          <w:rFonts w:ascii="Times New Roman" w:cs="Times New Roman" w:eastAsia="Times New Roman" w:hAnsi="Times New Roman"/>
          <w:sz w:val="14"/>
          <w:szCs w:val="14"/>
          <w:color w:val="auto"/>
        </w:rPr>
        <w:t>ACIONAL DE</w:t>
      </w:r>
      <w:r>
        <w:rPr>
          <w:rFonts w:ascii="Times New Roman" w:cs="Times New Roman" w:eastAsia="Times New Roman" w:hAnsi="Times New Roman"/>
          <w:sz w:val="18"/>
          <w:szCs w:val="18"/>
          <w:color w:val="auto"/>
        </w:rPr>
        <w:t xml:space="preserve"> M</w:t>
      </w:r>
      <w:r>
        <w:rPr>
          <w:rFonts w:ascii="Times New Roman" w:cs="Times New Roman" w:eastAsia="Times New Roman" w:hAnsi="Times New Roman"/>
          <w:sz w:val="14"/>
          <w:szCs w:val="14"/>
          <w:color w:val="auto"/>
        </w:rPr>
        <w:t>OÇAMBIQUE,</w:t>
      </w:r>
      <w:r>
        <w:rPr>
          <w:rFonts w:ascii="Times New Roman" w:cs="Times New Roman" w:eastAsia="Times New Roman" w:hAnsi="Times New Roman"/>
          <w:sz w:val="18"/>
          <w:szCs w:val="18"/>
          <w:color w:val="auto"/>
        </w:rPr>
        <w:t xml:space="preserve"> E.P.</w:t>
      </w:r>
    </w:p>
    <w:sectPr>
      <w:pgSz w:w="11900" w:h="16838" w:orient="portrait"/>
      <w:cols w:equalWidth="0" w:num="1">
        <w:col w:w="10520"/>
      </w:cols>
      <w:pgMar w:left="680" w:top="803" w:right="706" w:bottom="151"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28C895D"/>
    <w:multiLevelType w:val="hybridMultilevel"/>
    <w:lvl w:ilvl="0">
      <w:lvlJc w:val="left"/>
      <w:lvlText w:val="%1"/>
      <w:numFmt w:val="upperLetter"/>
      <w:start w:val="1"/>
    </w:lvl>
  </w:abstractNum>
  <w:abstractNum w:abstractNumId="1">
    <w:nsid w:val="333AB105"/>
    <w:multiLevelType w:val="hybridMultilevel"/>
    <w:lvl w:ilvl="0">
      <w:lvlJc w:val="left"/>
      <w:lvlText w:val="%1."/>
      <w:numFmt w:val="decimal"/>
      <w:start w:val="2"/>
    </w:lvl>
  </w:abstractNum>
  <w:abstractNum w:abstractNumId="2">
    <w:nsid w:val="721DA317"/>
    <w:multiLevelType w:val="hybridMultilevel"/>
    <w:lvl w:ilvl="0">
      <w:lvlJc w:val="left"/>
      <w:lvlText w:val="%1."/>
      <w:numFmt w:val="decimal"/>
      <w:start w:val="1"/>
    </w:lvl>
  </w:abstractNum>
  <w:abstractNum w:abstractNumId="3">
    <w:nsid w:val="2443A858"/>
    <w:multiLevelType w:val="hybridMultilevel"/>
    <w:lvl w:ilvl="0">
      <w:lvlJc w:val="left"/>
      <w:lvlText w:val="%1."/>
      <w:numFmt w:val="decimal"/>
      <w:start w:val="2"/>
    </w:lvl>
  </w:abstractNum>
  <w:abstractNum w:abstractNumId="4">
    <w:nsid w:val="2D1D5AE9"/>
    <w:multiLevelType w:val="hybridMultilevel"/>
    <w:lvl w:ilvl="0">
      <w:lvlJc w:val="left"/>
      <w:lvlText w:val="%1."/>
      <w:numFmt w:val="decimal"/>
      <w:start w:val="1"/>
    </w:lvl>
  </w:abstractNum>
  <w:abstractNum w:abstractNumId="5">
    <w:nsid w:val="6763845E"/>
    <w:multiLevelType w:val="hybridMultilevel"/>
    <w:lvl w:ilvl="0">
      <w:lvlJc w:val="left"/>
      <w:lvlText w:val="%1."/>
      <w:numFmt w:val="decimal"/>
      <w:start w:val="1"/>
    </w:lvl>
  </w:abstractNum>
  <w:abstractNum w:abstractNumId="6">
    <w:nsid w:val="75A2A8D4"/>
    <w:multiLevelType w:val="hybridMultilevel"/>
    <w:lvl w:ilvl="0">
      <w:lvlJc w:val="left"/>
      <w:lvlText w:val="%1."/>
      <w:numFmt w:val="decimal"/>
      <w:start w:val="1"/>
    </w:lvl>
  </w:abstractNum>
  <w:abstractNum w:abstractNumId="7">
    <w:nsid w:val="8EDBDAB"/>
    <w:multiLevelType w:val="hybridMultilevel"/>
    <w:lvl w:ilvl="0">
      <w:lvlJc w:val="left"/>
      <w:lvlText w:val="%1."/>
      <w:numFmt w:val="decimal"/>
      <w:start w:val="1"/>
    </w:lvl>
  </w:abstractNum>
  <w:abstractNum w:abstractNumId="8">
    <w:nsid w:val="79838CB2"/>
    <w:multiLevelType w:val="hybridMultilevel"/>
    <w:lvl w:ilvl="0">
      <w:lvlJc w:val="left"/>
      <w:lvlText w:val="%1."/>
      <w:numFmt w:val="decimal"/>
      <w:start w:val="1"/>
    </w:lvl>
  </w:abstractNum>
  <w:abstractNum w:abstractNumId="9">
    <w:nsid w:val="4353D0CD"/>
    <w:multiLevelType w:val="hybridMultilevel"/>
    <w:lvl w:ilvl="0">
      <w:lvlJc w:val="left"/>
      <w:lvlText w:val="%1."/>
      <w:numFmt w:val="decimal"/>
      <w:start w:val="2"/>
    </w:lvl>
  </w:abstractNum>
  <w:abstractNum w:abstractNumId="10">
    <w:nsid w:val="B03E0C6"/>
    <w:multiLevelType w:val="hybridMultilevel"/>
    <w:lvl w:ilvl="0">
      <w:lvlJc w:val="left"/>
      <w:lvlText w:val="%1."/>
      <w:numFmt w:val="decimal"/>
      <w:start w:val="1"/>
    </w:lvl>
  </w:abstractNum>
  <w:abstractNum w:abstractNumId="11">
    <w:nsid w:val="189A769B"/>
    <w:multiLevelType w:val="hybridMultilevel"/>
    <w:lvl w:ilvl="0">
      <w:lvlJc w:val="left"/>
      <w:lvlText w:val="à"/>
      <w:numFmt w:val="bullet"/>
      <w:start w:val="1"/>
    </w:lvl>
    <w:lvl w:ilvl="1">
      <w:lvlJc w:val="left"/>
      <w:lvlText w:val="%2."/>
      <w:numFmt w:val="decimal"/>
      <w:start w:val="3"/>
    </w:lvl>
  </w:abstractNum>
  <w:abstractNum w:abstractNumId="12">
    <w:nsid w:val="54E49EB4"/>
    <w:multiLevelType w:val="hybridMultilevel"/>
    <w:lvl w:ilvl="0">
      <w:lvlJc w:val="left"/>
      <w:lvlText w:val="à"/>
      <w:numFmt w:val="bullet"/>
      <w:start w:val="1"/>
    </w:lvl>
    <w:lvl w:ilvl="1">
      <w:lvlJc w:val="left"/>
      <w:lvlText w:val="%2."/>
      <w:numFmt w:val="decimal"/>
      <w:start w:val="4"/>
    </w:lvl>
  </w:abstractNum>
  <w:abstractNum w:abstractNumId="13">
    <w:nsid w:val="71F32454"/>
    <w:multiLevelType w:val="hybridMultilevel"/>
    <w:lvl w:ilvl="0">
      <w:lvlJc w:val="left"/>
      <w:lvlText w:val="%1."/>
      <w:numFmt w:val="decimal"/>
      <w:start w:val="1"/>
    </w:lvl>
  </w:abstractNum>
  <w:abstractNum w:abstractNumId="14">
    <w:nsid w:val="2CA88611"/>
    <w:multiLevelType w:val="hybridMultilevel"/>
    <w:lvl w:ilvl="0">
      <w:lvlJc w:val="left"/>
      <w:lvlText w:val="%1."/>
      <w:numFmt w:val="decimal"/>
      <w:start w:val="3"/>
    </w:lvl>
  </w:abstractNum>
  <w:abstractNum w:abstractNumId="15">
    <w:nsid w:val="836C40E"/>
    <w:multiLevelType w:val="hybridMultilevel"/>
    <w:lvl w:ilvl="0">
      <w:lvlJc w:val="left"/>
      <w:lvlText w:val="%1."/>
      <w:numFmt w:val="decimal"/>
      <w:start w:val="4"/>
    </w:lvl>
  </w:abstractNum>
  <w:abstractNum w:abstractNumId="16">
    <w:nsid w:val="2901D82"/>
    <w:multiLevelType w:val="hybridMultilevel"/>
    <w:lvl w:ilvl="0">
      <w:lvlJc w:val="left"/>
      <w:lvlText w:val="%1."/>
      <w:numFmt w:val="decimal"/>
      <w:start w:val="1"/>
    </w:lvl>
  </w:abstractNum>
  <w:abstractNum w:abstractNumId="17">
    <w:nsid w:val="3A95F874"/>
    <w:multiLevelType w:val="hybridMultilevel"/>
    <w:lvl w:ilvl="0">
      <w:lvlJc w:val="left"/>
      <w:lvlText w:val="%1."/>
      <w:numFmt w:val="decimal"/>
      <w:start w:val="4"/>
    </w:lvl>
  </w:abstractNum>
  <w:abstractNum w:abstractNumId="18">
    <w:nsid w:val="8138641"/>
    <w:multiLevelType w:val="hybridMultilevel"/>
    <w:lvl w:ilvl="0">
      <w:lvlJc w:val="left"/>
      <w:lvlText w:val="à"/>
      <w:numFmt w:val="bullet"/>
      <w:start w:val="1"/>
    </w:lvl>
    <w:lvl w:ilvl="1">
      <w:lvlJc w:val="left"/>
      <w:lvlText w:val="%2."/>
      <w:numFmt w:val="decimal"/>
      <w:start w:val="1"/>
    </w:lvl>
  </w:abstractNum>
  <w:abstractNum w:abstractNumId="19">
    <w:nsid w:val="1E7FF521"/>
    <w:multiLevelType w:val="hybridMultilevel"/>
    <w:lvl w:ilvl="0">
      <w:lvlJc w:val="left"/>
      <w:lvlText w:val="à"/>
      <w:numFmt w:val="bullet"/>
      <w:start w:val="1"/>
    </w:lvl>
    <w:lvl w:ilvl="1">
      <w:lvlJc w:val="left"/>
      <w:lvlText w:val="%2."/>
      <w:numFmt w:val="decimal"/>
      <w:start w:val="2"/>
    </w:lvl>
  </w:abstractNum>
  <w:abstractNum w:abstractNumId="20">
    <w:nsid w:val="7C3DBD3D"/>
    <w:multiLevelType w:val="hybridMultilevel"/>
    <w:lvl w:ilvl="0">
      <w:lvlJc w:val="left"/>
      <w:lvlText w:val="%1."/>
      <w:numFmt w:val="decimal"/>
      <w:start w:val="6"/>
    </w:lvl>
  </w:abstractNum>
  <w:abstractNum w:abstractNumId="21">
    <w:nsid w:val="737B8DDC"/>
    <w:multiLevelType w:val="hybridMultilevel"/>
    <w:lvl w:ilvl="0">
      <w:lvlJc w:val="left"/>
      <w:lvlText w:val="%1."/>
      <w:numFmt w:val="decimal"/>
      <w:start w:val="1"/>
    </w:lvl>
  </w:abstractNum>
  <w:abstractNum w:abstractNumId="22">
    <w:nsid w:val="6CEAF087"/>
    <w:multiLevelType w:val="hybridMultilevel"/>
    <w:lvl w:ilvl="0">
      <w:lvlJc w:val="left"/>
      <w:lvlText w:val="%1."/>
      <w:numFmt w:val="decimal"/>
      <w:start w:val="2"/>
    </w:lvl>
  </w:abstractNum>
  <w:abstractNum w:abstractNumId="23">
    <w:nsid w:val="22221A70"/>
    <w:multiLevelType w:val="hybridMultilevel"/>
    <w:lvl w:ilvl="0">
      <w:lvlJc w:val="left"/>
      <w:lvlText w:val="%1."/>
      <w:numFmt w:val="decimal"/>
      <w:start w:val="1"/>
    </w:lvl>
  </w:abstractNum>
  <w:abstractNum w:abstractNumId="24">
    <w:nsid w:val="4516DDE9"/>
    <w:multiLevelType w:val="hybridMultilevel"/>
    <w:lvl w:ilvl="0">
      <w:lvlJc w:val="left"/>
      <w:lvlText w:val="%1."/>
      <w:numFmt w:val="decimal"/>
      <w:start w:val="2"/>
    </w:lvl>
  </w:abstractNum>
  <w:abstractNum w:abstractNumId="25">
    <w:nsid w:val="3006C83E"/>
    <w:multiLevelType w:val="hybridMultilevel"/>
    <w:lvl w:ilvl="0">
      <w:lvlJc w:val="left"/>
      <w:lvlText w:val="%1."/>
      <w:numFmt w:val="decimal"/>
    </w:lvl>
    <w:lvl w:ilvl="1">
      <w:lvlJc w:val="left"/>
      <w:lvlText w:val="e"/>
      <w:numFmt w:val="bullet"/>
      <w:start w:val="1"/>
    </w:lvl>
  </w:abstractNum>
  <w:abstractNum w:abstractNumId="26">
    <w:nsid w:val="614FD4A1"/>
    <w:multiLevelType w:val="hybridMultilevel"/>
    <w:lvl w:ilvl="0">
      <w:lvlJc w:val="left"/>
      <w:lvlText w:val="%1."/>
      <w:numFmt w:val="decimal"/>
      <w:start w:val="1"/>
    </w:lvl>
  </w:abstractNum>
  <w:abstractNum w:abstractNumId="27">
    <w:nsid w:val="419AC241"/>
    <w:multiLevelType w:val="hybridMultilevel"/>
    <w:lvl w:ilvl="0">
      <w:lvlJc w:val="left"/>
      <w:lvlText w:val="%1."/>
      <w:numFmt w:val="decimal"/>
      <w:start w:val="1"/>
    </w:lvl>
  </w:abstractNum>
  <w:abstractNum w:abstractNumId="28">
    <w:nsid w:val="5577F8E1"/>
    <w:multiLevelType w:val="hybridMultilevel"/>
    <w:lvl w:ilvl="0">
      <w:lvlJc w:val="left"/>
      <w:lvlText w:val="%1."/>
      <w:numFmt w:val="decimal"/>
      <w:start w:val="4"/>
    </w:lvl>
  </w:abstractNum>
  <w:abstractNum w:abstractNumId="29">
    <w:nsid w:val="440BADFC"/>
    <w:multiLevelType w:val="hybridMultilevel"/>
    <w:lvl w:ilvl="0">
      <w:lvlJc w:val="left"/>
      <w:lvlText w:val="%1."/>
      <w:numFmt w:val="decimal"/>
      <w:start w:val="1"/>
    </w:lvl>
  </w:abstractNum>
  <w:abstractNum w:abstractNumId="30">
    <w:nsid w:val="5072367"/>
    <w:multiLevelType w:val="hybridMultilevel"/>
    <w:lvl w:ilvl="0">
      <w:lvlJc w:val="left"/>
      <w:lvlText w:val="%1."/>
      <w:numFmt w:val="decimal"/>
      <w:start w:val="2"/>
    </w:lvl>
  </w:abstractNum>
  <w:abstractNum w:abstractNumId="31">
    <w:nsid w:val="3804823E"/>
    <w:multiLevelType w:val="hybridMultilevel"/>
    <w:lvl w:ilvl="0">
      <w:lvlJc w:val="left"/>
      <w:lvlText w:val="%1."/>
      <w:numFmt w:val="decimal"/>
      <w:start w:val="1"/>
    </w:lvl>
  </w:abstractNum>
  <w:abstractNum w:abstractNumId="32">
    <w:nsid w:val="77465F01"/>
    <w:multiLevelType w:val="hybridMultilevel"/>
    <w:lvl w:ilvl="0">
      <w:lvlJc w:val="left"/>
      <w:lvlText w:val="%1."/>
      <w:numFmt w:val="decimal"/>
      <w:start w:val="1"/>
    </w:lvl>
  </w:abstractNum>
  <w:abstractNum w:abstractNumId="33">
    <w:nsid w:val="7724C67E"/>
    <w:multiLevelType w:val="hybridMultilevel"/>
    <w:lvl w:ilvl="0">
      <w:lvlJc w:val="left"/>
      <w:lvlText w:val="%1."/>
      <w:numFmt w:val="decimal"/>
      <w:start w:val="1"/>
    </w:lvl>
  </w:abstractNum>
  <w:abstractNum w:abstractNumId="34">
    <w:nsid w:val="5C482A97"/>
    <w:multiLevelType w:val="hybridMultilevel"/>
    <w:lvl w:ilvl="0">
      <w:lvlJc w:val="left"/>
      <w:lvlText w:val="%1."/>
      <w:numFmt w:val="decimal"/>
      <w:start w:val="6"/>
    </w:lvl>
  </w:abstractNum>
  <w:abstractNum w:abstractNumId="35">
    <w:nsid w:val="2463B9EA"/>
    <w:multiLevelType w:val="hybridMultilevel"/>
    <w:lvl w:ilvl="0">
      <w:lvlJc w:val="left"/>
      <w:lvlText w:val="%1."/>
      <w:numFmt w:val="decimal"/>
      <w:start w:val="22"/>
    </w:lvl>
  </w:abstractNum>
  <w:abstractNum w:abstractNumId="36">
    <w:nsid w:val="5E884ADC"/>
    <w:multiLevelType w:val="hybridMultilevel"/>
    <w:lvl w:ilvl="0">
      <w:lvlJc w:val="left"/>
      <w:lvlText w:val="%1."/>
      <w:numFmt w:val="decimal"/>
      <w:start w:val="37"/>
    </w:lvl>
    <w:lvl w:ilvl="1">
      <w:lvlJc w:val="left"/>
      <w:lvlText w:val="é"/>
      <w:numFmt w:val="bullet"/>
      <w:start w:val="1"/>
    </w:lvl>
  </w:abstractNum>
  <w:abstractNum w:abstractNumId="37">
    <w:nsid w:val="51EAD36B"/>
    <w:multiLevelType w:val="hybridMultilevel"/>
    <w:lvl w:ilvl="0">
      <w:lvlJc w:val="left"/>
      <w:lvlText w:val="%1."/>
      <w:numFmt w:val="decimal"/>
      <w:start w:val="44"/>
    </w:lvl>
  </w:abstractNum>
  <w:abstractNum w:abstractNumId="38">
    <w:nsid w:val="2D517796"/>
    <w:multiLevelType w:val="hybridMultilevel"/>
    <w:lvl w:ilvl="0">
      <w:lvlJc w:val="left"/>
      <w:lvlText w:val="●"/>
      <w:numFmt w:val="bullet"/>
      <w:start w:val="1"/>
    </w:lvl>
  </w:abstractNum>
  <w:abstractNum w:abstractNumId="39">
    <w:nsid w:val="580BD78F"/>
    <w:multiLevelType w:val="hybridMultilevel"/>
    <w:lvl w:ilvl="0">
      <w:lvlJc w:val="left"/>
      <w:lvlText w:val="●"/>
      <w:numFmt w:val="bullet"/>
      <w:start w:val="1"/>
    </w:lvl>
  </w:abstractNum>
  <w:abstractNum w:abstractNumId="40">
    <w:nsid w:val="153EA438"/>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2023-03-13T09:55:50Z</dcterms:created>
  <dcterms:modified xsi:type="dcterms:W3CDTF">2023-03-13T09:55:50Z</dcterms:modified>
</cp:coreProperties>
</file>