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22D1" w:rsidRDefault="00CA22D1" w:rsidP="002A3B33">
      <w:pPr>
        <w:rPr>
          <w:b/>
          <w:lang w:val="pt-PT"/>
        </w:rPr>
      </w:pPr>
    </w:p>
    <w:p w:rsidR="00CA22D1" w:rsidRDefault="00CA22D1" w:rsidP="002A3B33">
      <w:pPr>
        <w:rPr>
          <w:b/>
          <w:lang w:val="pt-PT"/>
        </w:rPr>
      </w:pPr>
    </w:p>
    <w:p w:rsidR="00A43FAC" w:rsidRPr="00A904E6" w:rsidRDefault="00A43FAC" w:rsidP="00A43FAC">
      <w:pPr>
        <w:pStyle w:val="Ttulo2"/>
        <w:rPr>
          <w:b/>
          <w:color w:val="000000"/>
          <w:sz w:val="36"/>
          <w:szCs w:val="36"/>
        </w:rPr>
      </w:pPr>
      <w:r w:rsidRPr="00A904E6">
        <w:rPr>
          <w:b/>
          <w:color w:val="000000"/>
          <w:sz w:val="36"/>
          <w:szCs w:val="36"/>
        </w:rPr>
        <w:t>ANÚNCIO</w:t>
      </w:r>
    </w:p>
    <w:p w:rsidR="00A43FAC" w:rsidRPr="00A43FAC" w:rsidRDefault="00A43FAC" w:rsidP="00A43FAC">
      <w:pPr>
        <w:jc w:val="center"/>
        <w:rPr>
          <w:b/>
          <w:sz w:val="22"/>
          <w:szCs w:val="22"/>
          <w:lang w:val="pt-PT"/>
        </w:rPr>
      </w:pPr>
    </w:p>
    <w:p w:rsidR="00A43FAC" w:rsidRPr="00A03490" w:rsidRDefault="00A43FAC" w:rsidP="005D6AA7">
      <w:pPr>
        <w:spacing w:line="360" w:lineRule="auto"/>
        <w:jc w:val="center"/>
        <w:rPr>
          <w:rFonts w:ascii="Times New Roman" w:hAnsi="Times New Roman" w:cs="Times New Roman"/>
          <w:lang w:val="pt-PT"/>
        </w:rPr>
      </w:pPr>
      <w:r w:rsidRPr="00A03490">
        <w:rPr>
          <w:rFonts w:ascii="Times New Roman" w:hAnsi="Times New Roman" w:cs="Times New Roman"/>
          <w:b/>
          <w:lang w:val="pt-PT"/>
        </w:rPr>
        <w:t>Propostas de Normas Moçambicanas em fase de Inquérito Público</w:t>
      </w:r>
    </w:p>
    <w:p w:rsidR="00A43FAC" w:rsidRPr="00A03490" w:rsidRDefault="00A43FAC" w:rsidP="005D6AA7">
      <w:pPr>
        <w:spacing w:line="360" w:lineRule="auto"/>
        <w:jc w:val="both"/>
        <w:rPr>
          <w:rFonts w:ascii="Times New Roman" w:hAnsi="Times New Roman" w:cs="Times New Roman"/>
          <w:lang w:val="pt-PT"/>
        </w:rPr>
      </w:pPr>
    </w:p>
    <w:p w:rsidR="00855881" w:rsidRPr="00855881" w:rsidRDefault="00855881" w:rsidP="00607A8C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Área de Alimentos, Saúde,Agro-Indústria e Protecção Ambiental</w:t>
      </w:r>
    </w:p>
    <w:p w:rsidR="00A43FAC" w:rsidRPr="00855881" w:rsidRDefault="00A43FAC" w:rsidP="00607A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</w:p>
    <w:p w:rsidR="00A43FAC" w:rsidRPr="00855881" w:rsidRDefault="00A43FAC" w:rsidP="00607A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CTN </w:t>
      </w:r>
      <w:r w:rsidR="003831BC" w:rsidRPr="00855881">
        <w:rPr>
          <w:rFonts w:ascii="Times New Roman" w:hAnsi="Times New Roman" w:cs="Times New Roman"/>
          <w:b/>
          <w:sz w:val="22"/>
          <w:szCs w:val="22"/>
          <w:lang w:val="pt-PT"/>
        </w:rPr>
        <w:t>1</w:t>
      </w: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–Comissão Técnica de Norm</w:t>
      </w:r>
      <w:r w:rsidR="00A03490" w:rsidRPr="00855881">
        <w:rPr>
          <w:rFonts w:ascii="Times New Roman" w:hAnsi="Times New Roman" w:cs="Times New Roman"/>
          <w:b/>
          <w:sz w:val="22"/>
          <w:szCs w:val="22"/>
          <w:lang w:val="pt-PT"/>
        </w:rPr>
        <w:t>alizaç</w:t>
      </w:r>
      <w:r w:rsidR="00A06C64"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ão </w:t>
      </w:r>
      <w:r w:rsidR="008F1E21" w:rsidRPr="00855881">
        <w:rPr>
          <w:rFonts w:ascii="Times New Roman" w:hAnsi="Times New Roman" w:cs="Times New Roman"/>
          <w:b/>
          <w:sz w:val="22"/>
          <w:szCs w:val="22"/>
          <w:lang w:val="pt-PT"/>
        </w:rPr>
        <w:t>– Alimentos e Saúde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872:2017</w:t>
      </w:r>
      <w:r w:rsidR="00101EC4"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- Água potável. Requisitos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873:2017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- Conservas de vegetais. Amostragem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874:2017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– Conservas de vegetais. Determinação do volume ocupado pelo produto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875:2017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- Conservas de vegetais. Determinação da concentração do ião hidrogénio (pH)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876:2017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- Controlo microbiológico dos alimentos. Leveduras e bolores viáveis contagem de placas em sementeira de profundidade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877:2017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– Aperitivos de milho fritos – Especificações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b/>
          <w:color w:val="000000" w:themeColor="text1"/>
          <w:spacing w:val="-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PrNM878:2017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- Refrigerantes carbonatados e não-carbonatados – Especificações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PrNM 879:2017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- Princípios e orientações para a troca de informações em situações de emergência relacionadas com a segurança dos alimentos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color w:val="000000" w:themeColor="text1"/>
          <w:sz w:val="22"/>
          <w:szCs w:val="22"/>
          <w:lang w:val="pt-PT"/>
        </w:rPr>
        <w:t>PrNM 880: 2017</w:t>
      </w:r>
      <w:r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 xml:space="preserve"> – Guião para a avaliação da competência dos laboratórios de ensaio envolvidos no c</w:t>
      </w:r>
      <w:r w:rsidR="006C6039"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>ontrolo no controlo da importaç</w:t>
      </w:r>
      <w:r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>ão e exportação dos alimentos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color w:val="000000" w:themeColor="text1"/>
          <w:sz w:val="22"/>
          <w:szCs w:val="22"/>
          <w:lang w:val="pt-PT"/>
        </w:rPr>
        <w:t>PrNM 881: 2017</w:t>
      </w:r>
      <w:r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 xml:space="preserve"> – Guiões sobre substâncias utilizadas como auxiliadores de processamento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color w:val="000000" w:themeColor="text1"/>
          <w:sz w:val="22"/>
          <w:szCs w:val="22"/>
          <w:lang w:val="pt-PT"/>
        </w:rPr>
        <w:t>NM 97:20</w:t>
      </w:r>
      <w:r w:rsidR="001C3889" w:rsidRPr="00855881">
        <w:rPr>
          <w:rFonts w:ascii="Times New Roman" w:hAnsi="Times New Roman" w:cs="Times New Roman"/>
          <w:b/>
          <w:color w:val="000000" w:themeColor="text1"/>
          <w:sz w:val="22"/>
          <w:szCs w:val="22"/>
          <w:lang w:val="pt-PT"/>
        </w:rPr>
        <w:t>09</w:t>
      </w:r>
      <w:r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 xml:space="preserve"> - 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>Código de boas práticas para produção de frangos - Revisão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NM 100:2009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– Código de boas práticas sobre alimentação animal - Revisão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color w:val="000000" w:themeColor="text1"/>
          <w:sz w:val="22"/>
          <w:szCs w:val="22"/>
          <w:lang w:val="pt-PT"/>
        </w:rPr>
        <w:t>NM 107:2009</w:t>
      </w:r>
      <w:r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 xml:space="preserve"> - 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>Ovos de galinha – especificações - Revisão</w:t>
      </w:r>
    </w:p>
    <w:p w:rsidR="00101EC4" w:rsidRPr="00855881" w:rsidRDefault="00101EC4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NM 393:2012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– </w:t>
      </w:r>
      <w:r w:rsidRPr="00855881">
        <w:rPr>
          <w:rFonts w:ascii="Times New Roman" w:hAnsi="Times New Roman" w:cs="Times New Roman"/>
          <w:color w:val="000000" w:themeColor="text1"/>
          <w:spacing w:val="-1"/>
          <w:sz w:val="22"/>
          <w:szCs w:val="22"/>
          <w:lang w:val="pt-PT"/>
        </w:rPr>
        <w:t xml:space="preserve">Sistema de Análise de Perigos e Pontos Críticos de Controlo – (HACCP) - Revisão                                                                                                         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color w:val="000000" w:themeColor="text1"/>
          <w:sz w:val="22"/>
          <w:szCs w:val="22"/>
          <w:lang w:val="pt-PT"/>
        </w:rPr>
        <w:t>NM 390:2012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 xml:space="preserve"> – Caldos e sopas em pó</w:t>
      </w:r>
      <w:r w:rsidRPr="00855881">
        <w:rPr>
          <w:rFonts w:ascii="Times New Roman" w:hAnsi="Times New Roman" w:cs="Times New Roman"/>
          <w:color w:val="000000" w:themeColor="text1"/>
          <w:spacing w:val="-1"/>
          <w:sz w:val="22"/>
          <w:szCs w:val="22"/>
          <w:lang w:val="pt-PT"/>
        </w:rPr>
        <w:t xml:space="preserve"> - </w:t>
      </w:r>
      <w:r w:rsidRPr="00855881">
        <w:rPr>
          <w:rFonts w:ascii="Times New Roman" w:eastAsia="Times New Roman" w:hAnsi="Times New Roman" w:cs="Times New Roman"/>
          <w:color w:val="000000" w:themeColor="text1"/>
          <w:sz w:val="22"/>
          <w:szCs w:val="22"/>
          <w:lang w:val="pt-PT"/>
        </w:rPr>
        <w:t>Revisão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color w:val="000000" w:themeColor="text1"/>
          <w:sz w:val="22"/>
          <w:szCs w:val="22"/>
          <w:lang w:val="pt-PT"/>
        </w:rPr>
        <w:t>NM 441:2013</w:t>
      </w:r>
      <w:r w:rsidRPr="00855881">
        <w:rPr>
          <w:rFonts w:ascii="Times New Roman" w:hAnsi="Times New Roman" w:cs="Times New Roman"/>
          <w:color w:val="000000" w:themeColor="text1"/>
          <w:sz w:val="22"/>
          <w:szCs w:val="22"/>
          <w:lang w:val="pt-PT"/>
        </w:rPr>
        <w:t xml:space="preserve"> - </w:t>
      </w:r>
      <w:r w:rsidRPr="00855881">
        <w:rPr>
          <w:rFonts w:ascii="Times New Roman" w:eastAsia="Calibri" w:hAnsi="Times New Roman" w:cs="Times New Roman"/>
          <w:color w:val="000000" w:themeColor="text1"/>
          <w:spacing w:val="-1"/>
          <w:sz w:val="22"/>
          <w:szCs w:val="22"/>
          <w:lang w:val="pt-PT"/>
        </w:rPr>
        <w:t>Maneio do frango para o abate – Revisão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NM 438:2013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– Alimentos balanceados para galinhas. Requisitos - Revisão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NM 440:2013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– Indústrias alimentares – Frango abatido - Revisão</w:t>
      </w:r>
    </w:p>
    <w:p w:rsidR="00735543" w:rsidRPr="00855881" w:rsidRDefault="00735543" w:rsidP="00607A8C">
      <w:pPr>
        <w:numPr>
          <w:ilvl w:val="0"/>
          <w:numId w:val="12"/>
        </w:numPr>
        <w:contextualSpacing/>
        <w:jc w:val="both"/>
        <w:rPr>
          <w:rFonts w:ascii="Times New Roman" w:eastAsia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NM 442:2013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– Indústrias alimentares. Definição e descrição dos cortes básicos do frango - Revisão</w:t>
      </w:r>
    </w:p>
    <w:p w:rsidR="006D6223" w:rsidRPr="00855881" w:rsidRDefault="006D6223" w:rsidP="00607A8C">
      <w:pPr>
        <w:pStyle w:val="PargrafodaLista"/>
        <w:autoSpaceDE w:val="0"/>
        <w:autoSpaceDN w:val="0"/>
        <w:adjustRightInd w:val="0"/>
        <w:ind w:left="1080"/>
        <w:jc w:val="both"/>
        <w:rPr>
          <w:b/>
          <w:sz w:val="22"/>
          <w:szCs w:val="22"/>
        </w:rPr>
      </w:pPr>
    </w:p>
    <w:p w:rsidR="006D6223" w:rsidRPr="00855881" w:rsidRDefault="006D6223" w:rsidP="00607A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CTN 2 –Comissão Técnica de Normalização – Agro-indústria </w:t>
      </w:r>
    </w:p>
    <w:p w:rsidR="006D6223" w:rsidRPr="00855881" w:rsidRDefault="006D6223" w:rsidP="008777F5">
      <w:pPr>
        <w:numPr>
          <w:ilvl w:val="0"/>
          <w:numId w:val="14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ISO 16055: 201</w:t>
      </w:r>
      <w:r w:rsidR="00517D3D" w:rsidRPr="00855881">
        <w:rPr>
          <w:rStyle w:val="Titulonorma"/>
          <w:sz w:val="22"/>
          <w:szCs w:val="22"/>
          <w:lang w:val="pt-PT"/>
        </w:rPr>
        <w:t>2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>Tabaco e produtos de tabaco.</w:t>
      </w:r>
      <w:r w:rsidR="00517D3D" w:rsidRPr="00855881">
        <w:rPr>
          <w:rFonts w:ascii="Times New Roman" w:hAnsi="Times New Roman" w:cs="Times New Roman"/>
          <w:sz w:val="22"/>
          <w:szCs w:val="22"/>
          <w:lang w:val="pt-PT"/>
        </w:rPr>
        <w:t>Peça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de ensaio monitor - requisitos e utilização </w:t>
      </w:r>
    </w:p>
    <w:p w:rsidR="006D6223" w:rsidRPr="00855881" w:rsidRDefault="006D6223" w:rsidP="008777F5">
      <w:pPr>
        <w:numPr>
          <w:ilvl w:val="0"/>
          <w:numId w:val="14"/>
        </w:numPr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ISO 10315:2013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>Cigarros. Determinação de Nicotina em Condensados de Fumaça – Método por Cromatografia Gasosa</w:t>
      </w:r>
    </w:p>
    <w:p w:rsidR="006D6223" w:rsidRPr="00855881" w:rsidRDefault="006D6223" w:rsidP="00B40626">
      <w:pPr>
        <w:numPr>
          <w:ilvl w:val="0"/>
          <w:numId w:val="14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887: 2017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>Cereais e derivados.Cereais, farinhas de cereais, sêmolas e massas alimentícias. Determinação da acidez</w:t>
      </w:r>
    </w:p>
    <w:p w:rsidR="006D6223" w:rsidRPr="00855881" w:rsidRDefault="006D6223" w:rsidP="00B40626">
      <w:pPr>
        <w:numPr>
          <w:ilvl w:val="0"/>
          <w:numId w:val="14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888: 2017C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ereais e derivados. Método de ensaio de panificação de farinha de trigo mole e de centeio </w:t>
      </w:r>
    </w:p>
    <w:p w:rsidR="006D6223" w:rsidRPr="00855881" w:rsidRDefault="006D6223" w:rsidP="00B40626">
      <w:pPr>
        <w:numPr>
          <w:ilvl w:val="0"/>
          <w:numId w:val="14"/>
        </w:numPr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889: 2017</w:t>
      </w:r>
      <w:r w:rsidRPr="00855881">
        <w:rPr>
          <w:rStyle w:val="Titulonorma"/>
          <w:b w:val="0"/>
          <w:sz w:val="22"/>
          <w:szCs w:val="22"/>
          <w:lang w:val="pt-PT"/>
        </w:rPr>
        <w:t xml:space="preserve"> Frutas e hortícolas frescas. Amostragem</w:t>
      </w:r>
    </w:p>
    <w:p w:rsidR="006D6223" w:rsidRPr="00855881" w:rsidRDefault="006D6223" w:rsidP="00B40626">
      <w:pPr>
        <w:numPr>
          <w:ilvl w:val="0"/>
          <w:numId w:val="14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890: 2017</w:t>
      </w:r>
      <w:r w:rsidRPr="00855881">
        <w:rPr>
          <w:rStyle w:val="Titulonorma"/>
          <w:b w:val="0"/>
          <w:sz w:val="22"/>
          <w:szCs w:val="22"/>
          <w:lang w:val="pt-PT"/>
        </w:rPr>
        <w:t xml:space="preserve"> Frutas e hortícolas frescas. Pimenta – Armazenamento e transporte</w:t>
      </w:r>
    </w:p>
    <w:p w:rsidR="00FA1A1A" w:rsidRDefault="00FA1A1A" w:rsidP="00607A8C">
      <w:pPr>
        <w:ind w:left="1440"/>
        <w:jc w:val="both"/>
        <w:rPr>
          <w:rStyle w:val="Titulonorma"/>
          <w:sz w:val="22"/>
          <w:szCs w:val="22"/>
          <w:lang w:val="pt-PT"/>
        </w:rPr>
      </w:pPr>
    </w:p>
    <w:p w:rsidR="006D6223" w:rsidRDefault="006D6223" w:rsidP="00607A8C">
      <w:pPr>
        <w:ind w:left="1440"/>
        <w:jc w:val="both"/>
        <w:rPr>
          <w:rStyle w:val="Titulonorma"/>
          <w:sz w:val="22"/>
          <w:szCs w:val="22"/>
          <w:lang w:val="pt-PT"/>
        </w:rPr>
      </w:pPr>
      <w:r w:rsidRPr="00855881">
        <w:rPr>
          <w:rStyle w:val="Titulonorma"/>
          <w:sz w:val="22"/>
          <w:szCs w:val="22"/>
          <w:lang w:val="pt-PT"/>
        </w:rPr>
        <w:t>NMs em Revisão</w:t>
      </w:r>
    </w:p>
    <w:p w:rsidR="00FA1A1A" w:rsidRPr="00855881" w:rsidRDefault="00FA1A1A" w:rsidP="00607A8C">
      <w:pPr>
        <w:ind w:left="1440"/>
        <w:jc w:val="both"/>
        <w:rPr>
          <w:rFonts w:ascii="Times New Roman" w:hAnsi="Times New Roman" w:cs="Times New Roman"/>
          <w:sz w:val="22"/>
          <w:szCs w:val="22"/>
          <w:lang w:val="pt-PT"/>
        </w:rPr>
      </w:pPr>
    </w:p>
    <w:p w:rsidR="006D6223" w:rsidRPr="00855881" w:rsidRDefault="006D6223" w:rsidP="00B40626">
      <w:pPr>
        <w:numPr>
          <w:ilvl w:val="0"/>
          <w:numId w:val="14"/>
        </w:numPr>
        <w:tabs>
          <w:tab w:val="left" w:pos="1276"/>
        </w:tabs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lastRenderedPageBreak/>
        <w:t>PrNM 5:2017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Cereais. Especificações para a farinha e sêmola de milho fortificadas incluindo métodos de análise e amostragem</w:t>
      </w:r>
    </w:p>
    <w:p w:rsidR="006D6223" w:rsidRPr="00855881" w:rsidRDefault="006D6223" w:rsidP="00B40626">
      <w:pPr>
        <w:numPr>
          <w:ilvl w:val="0"/>
          <w:numId w:val="14"/>
        </w:numPr>
        <w:tabs>
          <w:tab w:val="left" w:pos="1276"/>
        </w:tabs>
        <w:ind w:left="1134"/>
        <w:jc w:val="both"/>
        <w:rPr>
          <w:rStyle w:val="Titulonorma"/>
          <w:b w:val="0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7</w:t>
      </w: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: 2017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Cereais. Especificações para a farinha de trigo fortificada incluindo métodos de análise e amostragem</w:t>
      </w:r>
    </w:p>
    <w:p w:rsidR="006D6223" w:rsidRPr="00855881" w:rsidRDefault="006D6223" w:rsidP="00B40626">
      <w:pPr>
        <w:numPr>
          <w:ilvl w:val="0"/>
          <w:numId w:val="14"/>
        </w:numPr>
        <w:tabs>
          <w:tab w:val="left" w:pos="1276"/>
        </w:tabs>
        <w:ind w:left="1134"/>
        <w:jc w:val="both"/>
        <w:rPr>
          <w:rStyle w:val="Titulonorma"/>
          <w:b w:val="0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56: 2017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Pão. Especificações</w:t>
      </w:r>
    </w:p>
    <w:p w:rsidR="006D6223" w:rsidRPr="00855881" w:rsidRDefault="006D6223" w:rsidP="00B40626">
      <w:pPr>
        <w:numPr>
          <w:ilvl w:val="0"/>
          <w:numId w:val="14"/>
        </w:numPr>
        <w:tabs>
          <w:tab w:val="left" w:pos="1276"/>
        </w:tabs>
        <w:ind w:left="1134"/>
        <w:jc w:val="both"/>
        <w:rPr>
          <w:rStyle w:val="Titulonorma"/>
          <w:b w:val="0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51: 2017 </w:t>
      </w:r>
      <w:r w:rsidRPr="00855881">
        <w:rPr>
          <w:rStyle w:val="Titulonorma"/>
          <w:b w:val="0"/>
          <w:sz w:val="22"/>
          <w:szCs w:val="22"/>
          <w:lang w:val="pt-PT"/>
        </w:rPr>
        <w:t>Farinha de mandioca fortificada. Especificações</w:t>
      </w:r>
    </w:p>
    <w:p w:rsidR="006D6223" w:rsidRPr="00855881" w:rsidRDefault="006D6223" w:rsidP="00B40626">
      <w:pPr>
        <w:numPr>
          <w:ilvl w:val="0"/>
          <w:numId w:val="14"/>
        </w:numPr>
        <w:tabs>
          <w:tab w:val="left" w:pos="1276"/>
        </w:tabs>
        <w:ind w:left="1134"/>
        <w:jc w:val="both"/>
        <w:rPr>
          <w:rStyle w:val="Titulonorma"/>
          <w:b w:val="0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</w:t>
      </w:r>
      <w:r w:rsidRPr="00855881">
        <w:rPr>
          <w:rStyle w:val="Titulonorma"/>
          <w:sz w:val="22"/>
          <w:szCs w:val="22"/>
          <w:lang w:val="pt-PT"/>
        </w:rPr>
        <w:t xml:space="preserve"> 110: 2017 </w:t>
      </w:r>
      <w:r w:rsidRPr="00855881">
        <w:rPr>
          <w:rStyle w:val="Titulonorma"/>
          <w:b w:val="0"/>
          <w:sz w:val="22"/>
          <w:szCs w:val="22"/>
          <w:lang w:val="pt-PT"/>
        </w:rPr>
        <w:t>Açúcar fortificado. Especificações</w:t>
      </w:r>
    </w:p>
    <w:p w:rsidR="006D6223" w:rsidRPr="00855881" w:rsidRDefault="006D6223" w:rsidP="00B40626">
      <w:pPr>
        <w:numPr>
          <w:ilvl w:val="0"/>
          <w:numId w:val="14"/>
        </w:numPr>
        <w:tabs>
          <w:tab w:val="left" w:pos="1276"/>
        </w:tabs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425: 2017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 Óleos alimentares vegetais fortificados.  </w:t>
      </w:r>
    </w:p>
    <w:p w:rsidR="0086303D" w:rsidRPr="00855881" w:rsidRDefault="0086303D" w:rsidP="00607A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</w:p>
    <w:p w:rsidR="0086303D" w:rsidRPr="00855881" w:rsidRDefault="0086303D" w:rsidP="00607A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CTN 3 – Comissão Técnica de Normalização – Protecção Ambiental </w:t>
      </w:r>
    </w:p>
    <w:p w:rsidR="0086303D" w:rsidRPr="00855881" w:rsidRDefault="000B3723" w:rsidP="00B40626">
      <w:pPr>
        <w:numPr>
          <w:ilvl w:val="0"/>
          <w:numId w:val="16"/>
        </w:numPr>
        <w:spacing w:after="180"/>
        <w:ind w:left="1134"/>
        <w:jc w:val="both"/>
        <w:rPr>
          <w:rFonts w:ascii="Times New Roman" w:eastAsia="Calibri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891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eastAsia="Calibri" w:hAnsi="Times New Roman" w:cs="Times New Roman"/>
          <w:sz w:val="22"/>
          <w:szCs w:val="22"/>
          <w:lang w:val="pt-PT"/>
        </w:rPr>
        <w:t>Gestão ambiental - Resíduos sólidos - Guia para a reciclagem de papel e cartão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892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 xml:space="preserve">Guia para metigação dos impactos ambientais dos resíduos de recipientes e de embalagens </w:t>
      </w:r>
    </w:p>
    <w:p w:rsidR="0086303D" w:rsidRPr="00855881" w:rsidRDefault="000B3723" w:rsidP="00B40626">
      <w:pPr>
        <w:numPr>
          <w:ilvl w:val="0"/>
          <w:numId w:val="16"/>
        </w:numPr>
        <w:spacing w:before="120" w:after="120"/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893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Gestão Ambiental – Resíduos Sólidos – Guia para o aproveitamento dos resíduos metálicos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894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Gestão Ambiental – Resíduos Sólidos – Guia para a separação na fonte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895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Gestão Ambiental - Resíduos Sólidos: Guia para o aproveitamento de Resíduos Plásticos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896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Qualidade da água - Determinação de alumínio (Método com ericromocianina)</w:t>
      </w:r>
    </w:p>
    <w:p w:rsidR="0086303D" w:rsidRPr="00855881" w:rsidRDefault="000B3723" w:rsidP="00B40626">
      <w:pPr>
        <w:numPr>
          <w:ilvl w:val="0"/>
          <w:numId w:val="16"/>
        </w:numPr>
        <w:spacing w:after="180"/>
        <w:ind w:left="1134"/>
        <w:jc w:val="both"/>
        <w:rPr>
          <w:rFonts w:ascii="Times New Roman" w:eastAsia="Calibri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897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Guia para aproveitamento de resíduos sólidos orgânicos não perigosos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898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Qualidade da água – Determinação do selénio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899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Qualidade da água - Determinação de nitritos, (NO</w:t>
      </w:r>
      <w:r w:rsidR="0086303D" w:rsidRPr="00855881">
        <w:rPr>
          <w:rFonts w:ascii="Times New Roman" w:hAnsi="Times New Roman" w:cs="Times New Roman"/>
          <w:sz w:val="22"/>
          <w:szCs w:val="22"/>
          <w:vertAlign w:val="superscript"/>
          <w:lang w:val="pt-PT"/>
        </w:rPr>
        <w:t>-</w:t>
      </w:r>
      <w:r w:rsidR="0086303D" w:rsidRPr="00855881">
        <w:rPr>
          <w:rFonts w:ascii="Times New Roman" w:hAnsi="Times New Roman" w:cs="Times New Roman"/>
          <w:sz w:val="22"/>
          <w:szCs w:val="22"/>
          <w:vertAlign w:val="subscript"/>
          <w:lang w:val="pt-PT"/>
        </w:rPr>
        <w:t>2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)</w:t>
      </w:r>
    </w:p>
    <w:p w:rsidR="0086303D" w:rsidRPr="00855881" w:rsidRDefault="000B3723" w:rsidP="00B40626">
      <w:pPr>
        <w:numPr>
          <w:ilvl w:val="0"/>
          <w:numId w:val="16"/>
        </w:numPr>
        <w:ind w:left="1134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PrNM 900</w:t>
      </w:r>
      <w:r w:rsidR="0086303D" w:rsidRPr="00855881">
        <w:rPr>
          <w:rFonts w:ascii="Times New Roman" w:hAnsi="Times New Roman" w:cs="Times New Roman"/>
          <w:b/>
          <w:sz w:val="22"/>
          <w:szCs w:val="22"/>
          <w:lang w:val="pt-PT"/>
        </w:rPr>
        <w:t>:2017</w:t>
      </w:r>
      <w:r w:rsidR="0086303D" w:rsidRPr="00855881">
        <w:rPr>
          <w:rFonts w:ascii="Times New Roman" w:hAnsi="Times New Roman" w:cs="Times New Roman"/>
          <w:sz w:val="22"/>
          <w:szCs w:val="22"/>
          <w:lang w:val="pt-PT"/>
        </w:rPr>
        <w:t>Guia para a implementação da gestão integral de resíduos</w:t>
      </w:r>
    </w:p>
    <w:p w:rsidR="0086303D" w:rsidRPr="00855881" w:rsidRDefault="0086303D" w:rsidP="00B40626">
      <w:pPr>
        <w:numPr>
          <w:ilvl w:val="0"/>
          <w:numId w:val="16"/>
        </w:numPr>
        <w:ind w:left="1134"/>
        <w:jc w:val="both"/>
        <w:rPr>
          <w:rFonts w:ascii="Times New Roman" w:eastAsia="MS Mincho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PrNM </w:t>
      </w:r>
      <w:r w:rsidR="00E7651E"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ISO </w:t>
      </w: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660-3:2017</w:t>
      </w:r>
      <w:r w:rsidRPr="00855881">
        <w:rPr>
          <w:rFonts w:ascii="Times New Roman" w:hAnsi="Times New Roman" w:cs="Times New Roman"/>
          <w:sz w:val="22"/>
          <w:szCs w:val="22"/>
          <w:lang w:val="pt-PT"/>
        </w:rPr>
        <w:t>Produtos químicos – Informações sobre segurança, saúde e meio ambiente - Parte 3: Rotulagem</w:t>
      </w:r>
    </w:p>
    <w:p w:rsidR="00A43FAC" w:rsidRPr="00855881" w:rsidRDefault="00A43FAC" w:rsidP="00607A8C">
      <w:pPr>
        <w:jc w:val="both"/>
        <w:rPr>
          <w:rFonts w:ascii="Times New Roman" w:hAnsi="Times New Roman" w:cs="Times New Roman"/>
          <w:sz w:val="22"/>
          <w:szCs w:val="22"/>
          <w:lang w:val="pt-PT"/>
        </w:rPr>
      </w:pPr>
    </w:p>
    <w:p w:rsidR="00B72F89" w:rsidRPr="00855881" w:rsidRDefault="00C62DB3" w:rsidP="00607A8C">
      <w:pPr>
        <w:pStyle w:val="PargrafodaLista"/>
        <w:numPr>
          <w:ilvl w:val="0"/>
          <w:numId w:val="1"/>
        </w:numPr>
        <w:spacing w:after="160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Área de Eléctrica, Electrotecnia e Comunicação </w:t>
      </w:r>
    </w:p>
    <w:p w:rsidR="00B72F89" w:rsidRPr="00855881" w:rsidRDefault="00B72F89" w:rsidP="00607A8C">
      <w:pPr>
        <w:spacing w:after="160"/>
        <w:contextualSpacing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 xml:space="preserve">CTN 4 </w:t>
      </w:r>
      <w:r w:rsidR="000E5288" w:rsidRPr="00855881">
        <w:rPr>
          <w:rFonts w:ascii="Times New Roman" w:hAnsi="Times New Roman" w:cs="Times New Roman"/>
          <w:b/>
          <w:sz w:val="22"/>
          <w:szCs w:val="22"/>
          <w:lang w:val="pt-PT"/>
        </w:rPr>
        <w:t>–Comissão Técnica de Normalização - Terminologia, Símbolos e Medições Eléctricas</w:t>
      </w:r>
    </w:p>
    <w:p w:rsidR="000E5288" w:rsidRPr="00855881" w:rsidRDefault="00B83CAD" w:rsidP="005222E9">
      <w:pPr>
        <w:pStyle w:val="PargrafodaLista"/>
        <w:numPr>
          <w:ilvl w:val="0"/>
          <w:numId w:val="8"/>
        </w:numPr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NM 123:2009</w:t>
      </w:r>
      <w:r w:rsidRPr="00855881">
        <w:rPr>
          <w:sz w:val="22"/>
          <w:szCs w:val="22"/>
        </w:rPr>
        <w:t xml:space="preserve"> _ </w:t>
      </w:r>
      <w:r w:rsidR="000E5288" w:rsidRPr="00855881">
        <w:rPr>
          <w:sz w:val="22"/>
          <w:szCs w:val="22"/>
        </w:rPr>
        <w:t>Símbolos gráficos de elementos analógicos</w:t>
      </w:r>
    </w:p>
    <w:p w:rsidR="000E5288" w:rsidRPr="00855881" w:rsidRDefault="00B83CAD" w:rsidP="005222E9">
      <w:pPr>
        <w:pStyle w:val="PargrafodaLista"/>
        <w:numPr>
          <w:ilvl w:val="0"/>
          <w:numId w:val="8"/>
        </w:numPr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NM 216:2010</w:t>
      </w:r>
      <w:r w:rsidRPr="00855881">
        <w:rPr>
          <w:sz w:val="22"/>
          <w:szCs w:val="22"/>
        </w:rPr>
        <w:t xml:space="preserve"> _ </w:t>
      </w:r>
      <w:r w:rsidR="000E5288" w:rsidRPr="00855881">
        <w:rPr>
          <w:sz w:val="22"/>
          <w:szCs w:val="22"/>
        </w:rPr>
        <w:t>Aparelhos eléctricos de baixa tensão – linhas de fuga e distâncias no ar, definições e regras de medições</w:t>
      </w:r>
    </w:p>
    <w:p w:rsidR="000E5288" w:rsidRPr="00855881" w:rsidRDefault="000E5288" w:rsidP="00607A8C">
      <w:pPr>
        <w:jc w:val="both"/>
        <w:rPr>
          <w:rFonts w:ascii="Times New Roman" w:eastAsia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eastAsia="Times New Roman" w:hAnsi="Times New Roman" w:cs="Times New Roman"/>
          <w:b/>
          <w:sz w:val="22"/>
          <w:szCs w:val="22"/>
          <w:lang w:val="pt-PT"/>
        </w:rPr>
        <w:t xml:space="preserve">CTN 5 - Comissão Técnica de Normalização – Instalações Eléctricas em Edifícios </w:t>
      </w:r>
    </w:p>
    <w:p w:rsidR="000E5288" w:rsidRPr="00855881" w:rsidRDefault="00B83CAD" w:rsidP="005222E9">
      <w:pPr>
        <w:pStyle w:val="PargrafodaLista"/>
        <w:numPr>
          <w:ilvl w:val="0"/>
          <w:numId w:val="9"/>
        </w:numPr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856:107</w:t>
      </w:r>
      <w:r w:rsidRPr="00855881">
        <w:rPr>
          <w:sz w:val="22"/>
          <w:szCs w:val="22"/>
        </w:rPr>
        <w:t xml:space="preserve"> _ </w:t>
      </w:r>
      <w:r w:rsidR="000E5288" w:rsidRPr="00855881">
        <w:rPr>
          <w:sz w:val="22"/>
          <w:szCs w:val="22"/>
        </w:rPr>
        <w:t>Medição e avaliação da severidade das vibrações mecânicas de máquinas eléctricas rotativas com altura de eixo entre 80 mm e 400 mm.</w:t>
      </w:r>
    </w:p>
    <w:p w:rsidR="000E5288" w:rsidRPr="00855881" w:rsidRDefault="00B83CAD" w:rsidP="005222E9">
      <w:pPr>
        <w:pStyle w:val="PargrafodaLista"/>
        <w:numPr>
          <w:ilvl w:val="0"/>
          <w:numId w:val="9"/>
        </w:numPr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NP EN 60598-2-10</w:t>
      </w:r>
      <w:r w:rsidRPr="00855881">
        <w:rPr>
          <w:sz w:val="22"/>
          <w:szCs w:val="22"/>
        </w:rPr>
        <w:t xml:space="preserve"> _ </w:t>
      </w:r>
      <w:r w:rsidR="000E5288" w:rsidRPr="00855881">
        <w:rPr>
          <w:sz w:val="22"/>
          <w:szCs w:val="22"/>
        </w:rPr>
        <w:t xml:space="preserve">Luminárias – prescrições particulares – luminárias móveis para crianças  </w:t>
      </w:r>
    </w:p>
    <w:p w:rsidR="000E5288" w:rsidRPr="00855881" w:rsidRDefault="000E5288" w:rsidP="00607A8C">
      <w:p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CNT 18 - Comissão Técnica de Normalização – Tecnologias de Informação e Comunicação</w:t>
      </w:r>
    </w:p>
    <w:p w:rsidR="000E5288" w:rsidRPr="00855881" w:rsidRDefault="00590C5D" w:rsidP="005222E9">
      <w:pPr>
        <w:pStyle w:val="PargrafodaLista"/>
        <w:numPr>
          <w:ilvl w:val="0"/>
          <w:numId w:val="10"/>
        </w:numPr>
        <w:tabs>
          <w:tab w:val="left" w:pos="1134"/>
        </w:tabs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857:2017</w:t>
      </w:r>
      <w:r w:rsidRPr="00855881">
        <w:rPr>
          <w:sz w:val="22"/>
          <w:szCs w:val="22"/>
        </w:rPr>
        <w:t xml:space="preserve"> _ </w:t>
      </w:r>
      <w:r w:rsidR="000E5288" w:rsidRPr="00855881">
        <w:rPr>
          <w:sz w:val="22"/>
          <w:szCs w:val="22"/>
        </w:rPr>
        <w:t xml:space="preserve">Sistemas de processamento da informação – processamento de dados distribuído - vocabulário </w:t>
      </w:r>
    </w:p>
    <w:p w:rsidR="00B83CAD" w:rsidRPr="00855881" w:rsidRDefault="00590C5D" w:rsidP="005222E9">
      <w:pPr>
        <w:pStyle w:val="PargrafodaLista"/>
        <w:numPr>
          <w:ilvl w:val="0"/>
          <w:numId w:val="10"/>
        </w:numPr>
        <w:tabs>
          <w:tab w:val="left" w:pos="1134"/>
        </w:tabs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840:2017</w:t>
      </w:r>
      <w:r w:rsidRPr="00855881">
        <w:rPr>
          <w:sz w:val="22"/>
          <w:szCs w:val="22"/>
        </w:rPr>
        <w:t xml:space="preserve"> _ </w:t>
      </w:r>
      <w:r w:rsidR="00B83CAD" w:rsidRPr="00855881">
        <w:rPr>
          <w:sz w:val="22"/>
          <w:szCs w:val="22"/>
        </w:rPr>
        <w:t>Sistemas de processamento da informação. Controlo numérico. Manipulação de robots industriais. Interfaces mecânicas. Interfaces circulares. (Forma A)</w:t>
      </w:r>
    </w:p>
    <w:p w:rsidR="00B83CAD" w:rsidRPr="00855881" w:rsidRDefault="00590C5D" w:rsidP="005222E9">
      <w:pPr>
        <w:pStyle w:val="PargrafodaLista"/>
        <w:numPr>
          <w:ilvl w:val="0"/>
          <w:numId w:val="10"/>
        </w:numPr>
        <w:tabs>
          <w:tab w:val="left" w:pos="1134"/>
        </w:tabs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ISO 1155:2017</w:t>
      </w:r>
      <w:r w:rsidRPr="00855881">
        <w:rPr>
          <w:sz w:val="22"/>
          <w:szCs w:val="22"/>
        </w:rPr>
        <w:t xml:space="preserve"> _ </w:t>
      </w:r>
      <w:r w:rsidR="00B83CAD" w:rsidRPr="00855881">
        <w:rPr>
          <w:sz w:val="22"/>
          <w:szCs w:val="22"/>
        </w:rPr>
        <w:t>Sistemas de processamento de informação – uso da paridade longitudinal para detectar erros nas mensagens da informação</w:t>
      </w:r>
    </w:p>
    <w:p w:rsidR="00B83CAD" w:rsidRPr="00855881" w:rsidRDefault="00590C5D" w:rsidP="005222E9">
      <w:pPr>
        <w:pStyle w:val="PargrafodaLista"/>
        <w:numPr>
          <w:ilvl w:val="0"/>
          <w:numId w:val="10"/>
        </w:numPr>
        <w:tabs>
          <w:tab w:val="left" w:pos="1134"/>
        </w:tabs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ISO/IEC 27003: 2011</w:t>
      </w:r>
      <w:r w:rsidRPr="00855881">
        <w:rPr>
          <w:sz w:val="22"/>
          <w:szCs w:val="22"/>
        </w:rPr>
        <w:t xml:space="preserve"> _ </w:t>
      </w:r>
      <w:r w:rsidR="00B83CAD" w:rsidRPr="00855881">
        <w:rPr>
          <w:sz w:val="22"/>
          <w:szCs w:val="22"/>
        </w:rPr>
        <w:t>Tecnologias de Informação – Técnicas de Segurança – Directrizes para implementação de um Sistema de Gestão da Segurança da Informação</w:t>
      </w:r>
      <w:r w:rsidR="009E0564" w:rsidRPr="00855881">
        <w:rPr>
          <w:sz w:val="22"/>
          <w:szCs w:val="22"/>
        </w:rPr>
        <w:t>.</w:t>
      </w:r>
    </w:p>
    <w:p w:rsidR="009E0564" w:rsidRPr="00855881" w:rsidRDefault="009E0564" w:rsidP="00607A8C">
      <w:pPr>
        <w:pStyle w:val="PargrafodaLista"/>
        <w:jc w:val="both"/>
        <w:rPr>
          <w:sz w:val="22"/>
          <w:szCs w:val="22"/>
        </w:rPr>
      </w:pPr>
    </w:p>
    <w:p w:rsidR="0038714D" w:rsidRPr="00855881" w:rsidRDefault="0038714D" w:rsidP="00607A8C">
      <w:pPr>
        <w:pStyle w:val="PargrafodaLista"/>
        <w:numPr>
          <w:ilvl w:val="0"/>
          <w:numId w:val="1"/>
        </w:numPr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lastRenderedPageBreak/>
        <w:t>Área deGestão da qualidade, gestão ambiental, segurança e normas básicas</w:t>
      </w:r>
    </w:p>
    <w:p w:rsidR="0038714D" w:rsidRPr="00855881" w:rsidRDefault="0038714D" w:rsidP="00607A8C">
      <w:p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</w:p>
    <w:p w:rsidR="00EC26D7" w:rsidRPr="00855881" w:rsidRDefault="00EC26D7" w:rsidP="00607A8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CTN 7–Comissão Técnica de Normalização no âmbito da Gestão ambiental</w:t>
      </w:r>
    </w:p>
    <w:p w:rsidR="00EC26D7" w:rsidRPr="00855881" w:rsidRDefault="00EC26D7" w:rsidP="005222E9">
      <w:pPr>
        <w:pStyle w:val="PargrafodaLista"/>
        <w:numPr>
          <w:ilvl w:val="0"/>
          <w:numId w:val="5"/>
        </w:numPr>
        <w:tabs>
          <w:tab w:val="left" w:pos="1134"/>
        </w:tabs>
        <w:spacing w:after="160"/>
        <w:ind w:left="1134"/>
        <w:contextualSpacing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ISO/IEC 17067: 2015</w:t>
      </w:r>
      <w:r w:rsidRPr="00855881">
        <w:rPr>
          <w:sz w:val="22"/>
          <w:szCs w:val="22"/>
        </w:rPr>
        <w:t>- Avaliação da conformidade- Fundamentos para certificação de produtos e directrizes de esquemas para certificação de produtos.</w:t>
      </w:r>
    </w:p>
    <w:p w:rsidR="00EC26D7" w:rsidRPr="00855881" w:rsidRDefault="00EC26D7" w:rsidP="005222E9">
      <w:pPr>
        <w:pStyle w:val="PargrafodaLista"/>
        <w:numPr>
          <w:ilvl w:val="0"/>
          <w:numId w:val="5"/>
        </w:numPr>
        <w:tabs>
          <w:tab w:val="left" w:pos="1134"/>
        </w:tabs>
        <w:spacing w:after="160"/>
        <w:ind w:left="1134"/>
        <w:contextualSpacing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>PrNM ISO/IEC 17065 : 2013</w:t>
      </w:r>
      <w:r w:rsidRPr="00855881">
        <w:rPr>
          <w:sz w:val="22"/>
          <w:szCs w:val="22"/>
        </w:rPr>
        <w:t>- Avaliação da conformidade- Requisitos para organismos de certificação de produtos, processos e serviços</w:t>
      </w:r>
    </w:p>
    <w:p w:rsidR="00EC26D7" w:rsidRPr="00855881" w:rsidRDefault="00EC26D7" w:rsidP="005222E9">
      <w:pPr>
        <w:pStyle w:val="PargrafodaLista"/>
        <w:numPr>
          <w:ilvl w:val="0"/>
          <w:numId w:val="5"/>
        </w:numPr>
        <w:tabs>
          <w:tab w:val="left" w:pos="1134"/>
        </w:tabs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sz w:val="22"/>
          <w:szCs w:val="22"/>
        </w:rPr>
        <w:t>PrNM ISO 9000 : 2015 –</w:t>
      </w:r>
      <w:r w:rsidRPr="00855881">
        <w:rPr>
          <w:sz w:val="22"/>
          <w:szCs w:val="22"/>
        </w:rPr>
        <w:t xml:space="preserve"> Sistemas de gestão da qualidade Fundamentos e vocabulário- (Revisão)   </w:t>
      </w:r>
    </w:p>
    <w:p w:rsidR="008304CF" w:rsidRPr="00855881" w:rsidRDefault="008304CF" w:rsidP="00607A8C">
      <w:pPr>
        <w:pStyle w:val="PargrafodaLista"/>
        <w:jc w:val="both"/>
        <w:rPr>
          <w:color w:val="000000"/>
          <w:sz w:val="22"/>
          <w:szCs w:val="22"/>
        </w:rPr>
      </w:pPr>
    </w:p>
    <w:p w:rsidR="008304CF" w:rsidRPr="00855881" w:rsidRDefault="008304CF" w:rsidP="00607A8C">
      <w:pPr>
        <w:contextualSpacing/>
        <w:jc w:val="both"/>
        <w:rPr>
          <w:rFonts w:ascii="Times New Roman" w:hAnsi="Times New Roman" w:cs="Times New Roman"/>
          <w:b/>
          <w:color w:val="000000"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color w:val="000000"/>
          <w:sz w:val="22"/>
          <w:szCs w:val="22"/>
          <w:lang w:val="pt-PT"/>
        </w:rPr>
        <w:t xml:space="preserve">CTN 9- Comissão Técnica de Normalização- Materiais de Construção </w:t>
      </w:r>
    </w:p>
    <w:p w:rsidR="00564A44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 xml:space="preserve">PrNM 858: 2017- </w:t>
      </w:r>
      <w:r w:rsidRPr="00855881">
        <w:rPr>
          <w:sz w:val="22"/>
          <w:szCs w:val="22"/>
        </w:rPr>
        <w:t>Segurança nos andaimes. Procedimento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 xml:space="preserve">PrNM 859: 2017- </w:t>
      </w:r>
      <w:r w:rsidRPr="00855881">
        <w:rPr>
          <w:color w:val="000000"/>
          <w:sz w:val="22"/>
          <w:szCs w:val="22"/>
        </w:rPr>
        <w:t>Blocos de vidro. Requisitos</w:t>
      </w:r>
    </w:p>
    <w:p w:rsidR="008304CF" w:rsidRPr="00855881" w:rsidRDefault="00913AF2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 xml:space="preserve">PrNM 860: 2017- </w:t>
      </w:r>
      <w:r w:rsidRPr="00855881">
        <w:rPr>
          <w:color w:val="000000"/>
          <w:sz w:val="22"/>
          <w:szCs w:val="22"/>
        </w:rPr>
        <w:t>Tintas para construção civil- Especificação dos requisites mínimos de desempenho de tintas para edificações não industriais- Tintas látex nas cores claras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861</w:t>
      </w:r>
      <w:r w:rsidR="00913AF2" w:rsidRPr="00855881">
        <w:rPr>
          <w:b/>
          <w:color w:val="000000"/>
          <w:sz w:val="22"/>
          <w:szCs w:val="22"/>
        </w:rPr>
        <w:t>: 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Tintas para construção civil- Massa niveladora monocomponente à base de dispersão aquosa para alvenaria-Requisitos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862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Tintas para edificações não industriais- Terminologia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863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 xml:space="preserve">Tintas para construção civil- </w:t>
      </w:r>
      <w:r w:rsidR="003A5CA3" w:rsidRPr="00855881">
        <w:rPr>
          <w:color w:val="000000"/>
          <w:sz w:val="22"/>
          <w:szCs w:val="22"/>
        </w:rPr>
        <w:t>Execução</w:t>
      </w:r>
      <w:r w:rsidR="00913AF2" w:rsidRPr="00855881">
        <w:rPr>
          <w:color w:val="000000"/>
          <w:sz w:val="22"/>
          <w:szCs w:val="22"/>
        </w:rPr>
        <w:t xml:space="preserve"> de pinturas em edificações não industriais- Preparação de superfície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864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Impermeabilização- Selecção e projecto</w:t>
      </w:r>
    </w:p>
    <w:p w:rsidR="003A5CA3" w:rsidRPr="00855881" w:rsidRDefault="003A5CA3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865:2017-</w:t>
      </w:r>
      <w:r w:rsidRPr="00855881">
        <w:rPr>
          <w:color w:val="000000"/>
          <w:sz w:val="22"/>
          <w:szCs w:val="22"/>
        </w:rPr>
        <w:t>Tintas para construção civil- Tinta para edificações não industriais-Classificação</w:t>
      </w:r>
    </w:p>
    <w:p w:rsidR="003A5CA3" w:rsidRPr="00855881" w:rsidRDefault="003A5CA3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866: 2017-</w:t>
      </w:r>
      <w:r w:rsidRPr="00855881">
        <w:rPr>
          <w:color w:val="000000"/>
          <w:sz w:val="22"/>
          <w:szCs w:val="22"/>
        </w:rPr>
        <w:t>Tinta para construção civil-Método para avaliação de desempenho de tintas pera edificações não industriais-Determinação do grau de calcinação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867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Execução de impermeabilização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868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Tintas para construção civil- Método para avaliação de desempenho de tintas para edificações não industriais- Avaliação de manchamento por água</w:t>
      </w:r>
    </w:p>
    <w:p w:rsidR="008304CF" w:rsidRPr="00855881" w:rsidRDefault="008304CF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869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Tintas para construção civil-Edificações não industriais-Determinação do grau de empolamento</w:t>
      </w:r>
    </w:p>
    <w:p w:rsidR="00564A44" w:rsidRPr="00855881" w:rsidRDefault="008304CF" w:rsidP="005222E9">
      <w:pPr>
        <w:pStyle w:val="PargrafodaLista"/>
        <w:numPr>
          <w:ilvl w:val="0"/>
          <w:numId w:val="15"/>
        </w:numPr>
        <w:ind w:left="1134"/>
        <w:jc w:val="both"/>
        <w:rPr>
          <w:b/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870</w:t>
      </w:r>
      <w:r w:rsidR="00913AF2" w:rsidRPr="00855881">
        <w:rPr>
          <w:b/>
          <w:color w:val="000000"/>
          <w:sz w:val="22"/>
          <w:szCs w:val="22"/>
        </w:rPr>
        <w:t>:2017</w:t>
      </w:r>
      <w:r w:rsidRPr="00855881">
        <w:rPr>
          <w:b/>
          <w:color w:val="000000"/>
          <w:sz w:val="22"/>
          <w:szCs w:val="22"/>
        </w:rPr>
        <w:t>-</w:t>
      </w:r>
      <w:r w:rsidR="00913AF2" w:rsidRPr="00855881">
        <w:rPr>
          <w:color w:val="000000"/>
          <w:sz w:val="22"/>
          <w:szCs w:val="22"/>
        </w:rPr>
        <w:t>Tintas para a construção civil- Método para avaliação de desempenho de tintas para edificações não industriais-Determinação do grau de craqueamento</w:t>
      </w:r>
    </w:p>
    <w:p w:rsidR="008304CF" w:rsidRPr="00855881" w:rsidRDefault="003A5CA3" w:rsidP="005222E9">
      <w:pPr>
        <w:pStyle w:val="PargrafodaLista"/>
        <w:numPr>
          <w:ilvl w:val="0"/>
          <w:numId w:val="15"/>
        </w:numPr>
        <w:ind w:left="1134"/>
        <w:contextualSpacing/>
        <w:jc w:val="both"/>
        <w:rPr>
          <w:color w:val="000000"/>
          <w:sz w:val="22"/>
          <w:szCs w:val="22"/>
        </w:rPr>
      </w:pPr>
      <w:r w:rsidRPr="00855881">
        <w:rPr>
          <w:b/>
          <w:color w:val="000000"/>
          <w:sz w:val="22"/>
          <w:szCs w:val="22"/>
        </w:rPr>
        <w:t>PrNM 871: 20</w:t>
      </w:r>
      <w:r w:rsidR="00564A44" w:rsidRPr="00855881">
        <w:rPr>
          <w:b/>
          <w:color w:val="000000"/>
          <w:sz w:val="22"/>
          <w:szCs w:val="22"/>
        </w:rPr>
        <w:t>1</w:t>
      </w:r>
      <w:r w:rsidRPr="00855881">
        <w:rPr>
          <w:b/>
          <w:color w:val="000000"/>
          <w:sz w:val="22"/>
          <w:szCs w:val="22"/>
        </w:rPr>
        <w:t>7-</w:t>
      </w:r>
      <w:r w:rsidR="00913AF2" w:rsidRPr="00855881">
        <w:rPr>
          <w:color w:val="000000"/>
          <w:sz w:val="22"/>
          <w:szCs w:val="22"/>
        </w:rPr>
        <w:t>Tintas para construção civil- Requisitos de desempenho de tintas para edificações não industriais-Tinta brilhante à base de solvente com secagem oxidativa</w:t>
      </w:r>
    </w:p>
    <w:p w:rsidR="00913AF2" w:rsidRPr="00855881" w:rsidRDefault="00913AF2" w:rsidP="00607A8C">
      <w:pPr>
        <w:pStyle w:val="PargrafodaLista"/>
        <w:contextualSpacing/>
        <w:jc w:val="both"/>
        <w:rPr>
          <w:b/>
          <w:color w:val="000000"/>
          <w:sz w:val="22"/>
          <w:szCs w:val="22"/>
        </w:rPr>
      </w:pPr>
    </w:p>
    <w:p w:rsidR="0038714D" w:rsidRPr="00855881" w:rsidRDefault="0038714D" w:rsidP="00607A8C">
      <w:p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CTN 17 – Turismo e serviços turísticos</w:t>
      </w:r>
    </w:p>
    <w:p w:rsidR="0038714D" w:rsidRPr="00855881" w:rsidRDefault="0038714D" w:rsidP="006F7A51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ISO 13009: 2015 – </w:t>
      </w:r>
      <w:r w:rsidRPr="00855881">
        <w:rPr>
          <w:sz w:val="22"/>
          <w:szCs w:val="22"/>
        </w:rPr>
        <w:t>Turismo e serviços relacionados. Requisitos e recomendações para operação na praia.</w:t>
      </w:r>
    </w:p>
    <w:p w:rsidR="0038714D" w:rsidRPr="00855881" w:rsidRDefault="0038714D" w:rsidP="006F7A51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ISO 21101: 2014 - </w:t>
      </w:r>
      <w:r w:rsidRPr="00855881">
        <w:rPr>
          <w:sz w:val="22"/>
          <w:szCs w:val="22"/>
        </w:rPr>
        <w:t>Turismo de aventura — Sistemas de gestão da segurança — Requisitos</w:t>
      </w:r>
    </w:p>
    <w:p w:rsidR="0038714D" w:rsidRPr="00855881" w:rsidRDefault="0038714D" w:rsidP="006F7A51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ISO 21102: 2013 - </w:t>
      </w:r>
      <w:r w:rsidRPr="00855881">
        <w:rPr>
          <w:sz w:val="22"/>
          <w:szCs w:val="22"/>
        </w:rPr>
        <w:t>Turismo de aventura. Lideres - Competência Pessoal.</w:t>
      </w:r>
    </w:p>
    <w:p w:rsidR="0038714D" w:rsidRPr="00855881" w:rsidRDefault="0038714D" w:rsidP="006F7A51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color w:val="FF0000"/>
          <w:sz w:val="22"/>
          <w:szCs w:val="22"/>
        </w:rPr>
      </w:pPr>
      <w:r w:rsidRPr="00855881">
        <w:rPr>
          <w:b/>
          <w:sz w:val="22"/>
          <w:szCs w:val="22"/>
        </w:rPr>
        <w:t xml:space="preserve">PrNM ISO 21103: 2014 - </w:t>
      </w:r>
      <w:r w:rsidRPr="00855881">
        <w:rPr>
          <w:sz w:val="22"/>
          <w:szCs w:val="22"/>
        </w:rPr>
        <w:t>Turismo de aventura — Informações para participantes</w:t>
      </w:r>
      <w:r w:rsidRPr="00855881">
        <w:rPr>
          <w:color w:val="FF0000"/>
          <w:sz w:val="22"/>
          <w:szCs w:val="22"/>
        </w:rPr>
        <w:t>.</w:t>
      </w:r>
    </w:p>
    <w:p w:rsidR="0038714D" w:rsidRPr="00855881" w:rsidRDefault="0038714D" w:rsidP="00935252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</w:t>
      </w:r>
      <w:r w:rsidR="00F879AF" w:rsidRPr="00855881">
        <w:rPr>
          <w:b/>
          <w:sz w:val="22"/>
          <w:szCs w:val="22"/>
        </w:rPr>
        <w:t>882</w:t>
      </w:r>
      <w:r w:rsidRPr="00855881">
        <w:rPr>
          <w:b/>
          <w:sz w:val="22"/>
          <w:szCs w:val="22"/>
        </w:rPr>
        <w:t xml:space="preserve">: 2017 – </w:t>
      </w:r>
      <w:r w:rsidRPr="00855881">
        <w:rPr>
          <w:sz w:val="22"/>
          <w:szCs w:val="22"/>
        </w:rPr>
        <w:t>Turismo. Guia Especializado em áreas naturais.Requisitos.</w:t>
      </w:r>
    </w:p>
    <w:p w:rsidR="0038714D" w:rsidRPr="00855881" w:rsidRDefault="0038714D" w:rsidP="00935252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</w:t>
      </w:r>
      <w:r w:rsidR="00F879AF" w:rsidRPr="00855881">
        <w:rPr>
          <w:b/>
          <w:sz w:val="22"/>
          <w:szCs w:val="22"/>
        </w:rPr>
        <w:t>883</w:t>
      </w:r>
      <w:r w:rsidRPr="00855881">
        <w:rPr>
          <w:b/>
          <w:sz w:val="22"/>
          <w:szCs w:val="22"/>
        </w:rPr>
        <w:t xml:space="preserve">: 2017 – </w:t>
      </w:r>
      <w:r w:rsidRPr="00855881">
        <w:rPr>
          <w:sz w:val="22"/>
          <w:szCs w:val="22"/>
        </w:rPr>
        <w:t>Turismo. Guia Especializado em turismo cultural</w:t>
      </w:r>
      <w:r w:rsidRPr="00855881">
        <w:rPr>
          <w:b/>
          <w:sz w:val="22"/>
          <w:szCs w:val="22"/>
        </w:rPr>
        <w:t>.</w:t>
      </w:r>
      <w:r w:rsidRPr="00855881">
        <w:rPr>
          <w:sz w:val="22"/>
          <w:szCs w:val="22"/>
        </w:rPr>
        <w:t>Requisitos</w:t>
      </w:r>
    </w:p>
    <w:p w:rsidR="0038714D" w:rsidRPr="00855881" w:rsidRDefault="0038714D" w:rsidP="00935252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</w:t>
      </w:r>
      <w:r w:rsidR="00F879AF" w:rsidRPr="00855881">
        <w:rPr>
          <w:b/>
          <w:sz w:val="22"/>
          <w:szCs w:val="22"/>
        </w:rPr>
        <w:t>884</w:t>
      </w:r>
      <w:r w:rsidRPr="00855881">
        <w:rPr>
          <w:b/>
          <w:sz w:val="22"/>
          <w:szCs w:val="22"/>
        </w:rPr>
        <w:t>: 2017 –</w:t>
      </w:r>
      <w:r w:rsidRPr="00855881">
        <w:rPr>
          <w:sz w:val="22"/>
          <w:szCs w:val="22"/>
        </w:rPr>
        <w:t>Turismo. Agências de Viagens. Requisitos.</w:t>
      </w:r>
    </w:p>
    <w:p w:rsidR="0038714D" w:rsidRPr="00855881" w:rsidRDefault="0038714D" w:rsidP="00935252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 xml:space="preserve">PrNM </w:t>
      </w:r>
      <w:r w:rsidR="00F879AF" w:rsidRPr="00855881">
        <w:rPr>
          <w:b/>
          <w:sz w:val="22"/>
          <w:szCs w:val="22"/>
        </w:rPr>
        <w:t>885</w:t>
      </w:r>
      <w:r w:rsidRPr="00855881">
        <w:rPr>
          <w:b/>
          <w:sz w:val="22"/>
          <w:szCs w:val="22"/>
        </w:rPr>
        <w:t xml:space="preserve">: 2017 – </w:t>
      </w:r>
      <w:r w:rsidRPr="00855881">
        <w:rPr>
          <w:sz w:val="22"/>
          <w:szCs w:val="22"/>
        </w:rPr>
        <w:t>Turismo. Operadores turísticos. Requisitos</w:t>
      </w:r>
    </w:p>
    <w:p w:rsidR="0038714D" w:rsidRPr="00855881" w:rsidRDefault="0038714D" w:rsidP="00935252">
      <w:pPr>
        <w:pStyle w:val="PargrafodaLista"/>
        <w:numPr>
          <w:ilvl w:val="0"/>
          <w:numId w:val="4"/>
        </w:numPr>
        <w:spacing w:after="160"/>
        <w:ind w:left="1134"/>
        <w:contextualSpacing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</w:t>
      </w:r>
      <w:r w:rsidR="00F879AF" w:rsidRPr="00855881">
        <w:rPr>
          <w:b/>
          <w:sz w:val="22"/>
          <w:szCs w:val="22"/>
        </w:rPr>
        <w:t>886</w:t>
      </w:r>
      <w:r w:rsidRPr="00855881">
        <w:rPr>
          <w:b/>
          <w:sz w:val="22"/>
          <w:szCs w:val="22"/>
        </w:rPr>
        <w:t xml:space="preserve">: 2017 – </w:t>
      </w:r>
      <w:r w:rsidRPr="00855881">
        <w:rPr>
          <w:sz w:val="22"/>
          <w:szCs w:val="22"/>
        </w:rPr>
        <w:t>Turismo. Passeios Náuticos</w:t>
      </w:r>
      <w:r w:rsidRPr="00855881">
        <w:rPr>
          <w:b/>
          <w:sz w:val="22"/>
          <w:szCs w:val="22"/>
        </w:rPr>
        <w:t>.</w:t>
      </w:r>
      <w:r w:rsidRPr="00855881">
        <w:rPr>
          <w:sz w:val="22"/>
          <w:szCs w:val="22"/>
        </w:rPr>
        <w:t xml:space="preserve"> Requisitos.</w:t>
      </w:r>
    </w:p>
    <w:p w:rsidR="00717319" w:rsidRPr="00855881" w:rsidRDefault="00717319" w:rsidP="00607A8C">
      <w:pPr>
        <w:pStyle w:val="Style"/>
        <w:tabs>
          <w:tab w:val="left" w:pos="180"/>
        </w:tabs>
        <w:jc w:val="both"/>
        <w:rPr>
          <w:b/>
          <w:bCs/>
          <w:sz w:val="22"/>
          <w:szCs w:val="22"/>
          <w:lang w:val="pt-PT" w:bidi="he-IL"/>
        </w:rPr>
      </w:pPr>
      <w:r w:rsidRPr="00855881">
        <w:rPr>
          <w:b/>
          <w:bCs/>
          <w:sz w:val="22"/>
          <w:szCs w:val="22"/>
          <w:lang w:val="pt-PT" w:bidi="he-IL"/>
        </w:rPr>
        <w:t>CTN 13 - Florestas e produtos processados de madeira</w:t>
      </w:r>
    </w:p>
    <w:p w:rsidR="00717319" w:rsidRPr="00855881" w:rsidRDefault="00717319" w:rsidP="00607A8C">
      <w:pPr>
        <w:pStyle w:val="Cabealho"/>
        <w:tabs>
          <w:tab w:val="clear" w:pos="4320"/>
          <w:tab w:val="clear" w:pos="8640"/>
          <w:tab w:val="center" w:pos="4680"/>
          <w:tab w:val="right" w:pos="9360"/>
        </w:tabs>
        <w:jc w:val="both"/>
        <w:rPr>
          <w:rFonts w:ascii="Times New Roman" w:hAnsi="Times New Roman" w:cs="Times New Roman"/>
          <w:color w:val="000000"/>
          <w:sz w:val="22"/>
          <w:szCs w:val="22"/>
          <w:lang w:val="pt-PT"/>
        </w:rPr>
      </w:pP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ISO 2457:1979 - </w:t>
      </w:r>
      <w:r w:rsidRPr="00855881">
        <w:rPr>
          <w:bCs/>
          <w:sz w:val="22"/>
          <w:szCs w:val="22"/>
          <w:lang w:val="pt-BR" w:bidi="he-IL"/>
        </w:rPr>
        <w:t>Parquet de madeira maciça – caracteristicas gerais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lastRenderedPageBreak/>
        <w:t xml:space="preserve">PrNM ISO 12466-2:2012 - </w:t>
      </w:r>
      <w:r w:rsidRPr="00855881">
        <w:rPr>
          <w:rStyle w:val="Titulonorma"/>
          <w:b w:val="0"/>
          <w:sz w:val="22"/>
          <w:szCs w:val="22"/>
        </w:rPr>
        <w:t>Contraplacados – Qualidade de colagem – Parte 2: Requisitos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autoSpaceDE w:val="0"/>
        <w:autoSpaceDN w:val="0"/>
        <w:adjustRightInd w:val="0"/>
        <w:ind w:left="1134"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846:2017 - </w:t>
      </w:r>
      <w:r w:rsidRPr="00855881">
        <w:rPr>
          <w:sz w:val="22"/>
          <w:szCs w:val="22"/>
        </w:rPr>
        <w:t>Madeiras. Madeira serrada para construção. Dimensões, classificação e defeitos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rStyle w:val="Titulonorma"/>
          <w:b w:val="0"/>
          <w:sz w:val="22"/>
          <w:szCs w:val="22"/>
        </w:rPr>
      </w:pPr>
      <w:r w:rsidRPr="00855881">
        <w:rPr>
          <w:b/>
          <w:sz w:val="22"/>
          <w:szCs w:val="22"/>
        </w:rPr>
        <w:t xml:space="preserve">PrNM 847:2017 - </w:t>
      </w:r>
      <w:r w:rsidRPr="00855881">
        <w:rPr>
          <w:rStyle w:val="Titulonorma"/>
          <w:b w:val="0"/>
          <w:sz w:val="22"/>
          <w:szCs w:val="22"/>
        </w:rPr>
        <w:t>Maneio florestal sustentável – Princípios, critérios e indicadores para plantações florestais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autoSpaceDE w:val="0"/>
        <w:autoSpaceDN w:val="0"/>
        <w:adjustRightInd w:val="0"/>
        <w:ind w:left="1134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 xml:space="preserve">PrNM 848 </w:t>
      </w:r>
      <w:r w:rsidRPr="00855881">
        <w:rPr>
          <w:sz w:val="22"/>
          <w:szCs w:val="22"/>
        </w:rPr>
        <w:t>- Preservação da madeira- Preservantes cobre-cromo-arsénico (CCA). Classificação e requisitos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849:2017 - </w:t>
      </w:r>
      <w:r w:rsidRPr="00855881">
        <w:rPr>
          <w:rStyle w:val="Titulonorma"/>
          <w:b w:val="0"/>
          <w:sz w:val="22"/>
          <w:szCs w:val="22"/>
        </w:rPr>
        <w:t>Florestas urbanas – Maneio de árvores, arbustos e outras plantas lenhosas – Parte 1: Poda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rStyle w:val="Titulonorma"/>
          <w:sz w:val="22"/>
          <w:szCs w:val="22"/>
        </w:rPr>
      </w:pPr>
      <w:r w:rsidRPr="00855881">
        <w:rPr>
          <w:b/>
          <w:sz w:val="22"/>
          <w:szCs w:val="22"/>
        </w:rPr>
        <w:t xml:space="preserve">PrNM 850:2017 - </w:t>
      </w:r>
      <w:r w:rsidRPr="00855881">
        <w:rPr>
          <w:rStyle w:val="Titulonorma"/>
          <w:b w:val="0"/>
          <w:sz w:val="22"/>
          <w:szCs w:val="22"/>
        </w:rPr>
        <w:t>Madeira serrada para uso estrutural – Classificação visual e requisitos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rStyle w:val="Titulonorma"/>
          <w:sz w:val="22"/>
          <w:szCs w:val="22"/>
        </w:rPr>
      </w:pPr>
      <w:r w:rsidRPr="00855881">
        <w:rPr>
          <w:b/>
          <w:sz w:val="22"/>
          <w:szCs w:val="22"/>
        </w:rPr>
        <w:t xml:space="preserve">PrNM 851:2017 - </w:t>
      </w:r>
      <w:r w:rsidRPr="00855881">
        <w:rPr>
          <w:rStyle w:val="Titulonorma"/>
          <w:b w:val="0"/>
          <w:sz w:val="22"/>
          <w:szCs w:val="22"/>
        </w:rPr>
        <w:t>Madeira serrada e aplainada para uso estrutural – Dimensões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rStyle w:val="Titulonorma"/>
          <w:b w:val="0"/>
          <w:sz w:val="22"/>
          <w:szCs w:val="22"/>
        </w:rPr>
      </w:pPr>
      <w:r w:rsidRPr="00855881">
        <w:rPr>
          <w:b/>
          <w:sz w:val="22"/>
          <w:szCs w:val="22"/>
        </w:rPr>
        <w:t xml:space="preserve">PrNM 852:2017 - </w:t>
      </w:r>
      <w:r w:rsidRPr="00855881">
        <w:rPr>
          <w:rStyle w:val="Titulonorma"/>
          <w:b w:val="0"/>
          <w:sz w:val="22"/>
          <w:szCs w:val="22"/>
        </w:rPr>
        <w:t>Maneio florestal sustentável – Cadeia de custódia – Requisitos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rStyle w:val="Titulonorma"/>
          <w:sz w:val="22"/>
          <w:szCs w:val="22"/>
        </w:rPr>
      </w:pPr>
      <w:r w:rsidRPr="00855881">
        <w:rPr>
          <w:b/>
          <w:sz w:val="22"/>
          <w:szCs w:val="22"/>
        </w:rPr>
        <w:t xml:space="preserve">PrNM 853:2017 - </w:t>
      </w:r>
      <w:r w:rsidRPr="00855881">
        <w:rPr>
          <w:rStyle w:val="Titulonorma"/>
          <w:b w:val="0"/>
          <w:sz w:val="22"/>
          <w:szCs w:val="22"/>
        </w:rPr>
        <w:t>Preservação de madeiras – Sistema de categorias de uso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rStyle w:val="Titulonorma"/>
          <w:sz w:val="22"/>
          <w:szCs w:val="22"/>
        </w:rPr>
      </w:pPr>
      <w:r w:rsidRPr="00855881">
        <w:rPr>
          <w:b/>
          <w:sz w:val="22"/>
          <w:szCs w:val="22"/>
        </w:rPr>
        <w:t>PrNM 854:</w:t>
      </w:r>
      <w:r w:rsidRPr="00855881">
        <w:rPr>
          <w:rStyle w:val="Titulonorma"/>
          <w:sz w:val="22"/>
          <w:szCs w:val="22"/>
        </w:rPr>
        <w:t xml:space="preserve">2017 - </w:t>
      </w:r>
      <w:r w:rsidRPr="00855881">
        <w:rPr>
          <w:rStyle w:val="Titulonorma"/>
          <w:b w:val="0"/>
          <w:sz w:val="22"/>
          <w:szCs w:val="22"/>
        </w:rPr>
        <w:t>Sistema de classificação e qualificação de toros de madeira para descasque proveniente de florestas húmidas tropicais</w:t>
      </w:r>
    </w:p>
    <w:p w:rsidR="00717319" w:rsidRPr="00855881" w:rsidRDefault="00717319" w:rsidP="00935252">
      <w:pPr>
        <w:pStyle w:val="PargrafodaLista"/>
        <w:numPr>
          <w:ilvl w:val="0"/>
          <w:numId w:val="13"/>
        </w:numPr>
        <w:tabs>
          <w:tab w:val="left" w:pos="851"/>
        </w:tabs>
        <w:ind w:left="1134"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PrNM 855:2017 - </w:t>
      </w:r>
      <w:r w:rsidRPr="00855881">
        <w:rPr>
          <w:sz w:val="22"/>
          <w:szCs w:val="22"/>
        </w:rPr>
        <w:t>Madeiras – Procedimento para o abate de árvores e corte de madeira em toros e serrada</w:t>
      </w:r>
    </w:p>
    <w:p w:rsidR="00072B64" w:rsidRPr="00855881" w:rsidRDefault="00072B64" w:rsidP="00607A8C">
      <w:pPr>
        <w:ind w:left="90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</w:p>
    <w:p w:rsidR="00072B64" w:rsidRPr="00855881" w:rsidRDefault="00072B64" w:rsidP="00607A8C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Área de Área de Engenharia mecânica, Combustíveis, Caldeiras e Recipientes sobpressão e transportes</w:t>
      </w:r>
    </w:p>
    <w:p w:rsidR="00072B64" w:rsidRPr="00855881" w:rsidRDefault="00072B64" w:rsidP="00607A8C">
      <w:pPr>
        <w:pStyle w:val="PargrafodaLista"/>
        <w:ind w:left="360"/>
        <w:jc w:val="both"/>
        <w:rPr>
          <w:b/>
          <w:sz w:val="22"/>
          <w:szCs w:val="22"/>
        </w:rPr>
      </w:pPr>
    </w:p>
    <w:p w:rsidR="00072B64" w:rsidRPr="00855881" w:rsidRDefault="00072B64" w:rsidP="00607A8C">
      <w:p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hAnsi="Times New Roman" w:cs="Times New Roman"/>
          <w:b/>
          <w:sz w:val="22"/>
          <w:szCs w:val="22"/>
          <w:lang w:val="pt-PT"/>
        </w:rPr>
        <w:t>CTN 11-Transportes</w:t>
      </w:r>
    </w:p>
    <w:p w:rsidR="00072B64" w:rsidRPr="00855881" w:rsidRDefault="00072B64" w:rsidP="00607A8C">
      <w:pPr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</w:tabs>
        <w:ind w:left="1134" w:hanging="283"/>
        <w:jc w:val="both"/>
        <w:rPr>
          <w:rFonts w:eastAsia="Calibri"/>
          <w:b/>
          <w:sz w:val="22"/>
          <w:szCs w:val="22"/>
        </w:rPr>
      </w:pPr>
      <w:r w:rsidRPr="00855881">
        <w:rPr>
          <w:rFonts w:eastAsia="Calibri"/>
          <w:b/>
          <w:sz w:val="22"/>
          <w:szCs w:val="22"/>
        </w:rPr>
        <w:t xml:space="preserve"> PrNM ISO 39001</w:t>
      </w:r>
      <w:r w:rsidR="005A3173" w:rsidRPr="00855881">
        <w:rPr>
          <w:rFonts w:eastAsia="Calibri"/>
          <w:b/>
          <w:sz w:val="22"/>
          <w:szCs w:val="22"/>
        </w:rPr>
        <w:t xml:space="preserve"> - </w:t>
      </w:r>
      <w:r w:rsidRPr="00855881">
        <w:rPr>
          <w:rFonts w:eastAsia="Calibri"/>
          <w:b/>
          <w:sz w:val="22"/>
          <w:szCs w:val="22"/>
        </w:rPr>
        <w:t xml:space="preserve"> </w:t>
      </w:r>
      <w:r w:rsidRPr="00855881">
        <w:rPr>
          <w:rStyle w:val="Titulonorma"/>
          <w:b w:val="0"/>
          <w:sz w:val="22"/>
          <w:szCs w:val="22"/>
        </w:rPr>
        <w:t xml:space="preserve">Sistemas de Gestão da segurança viária (SV) –Requisitos com orientações para uso   </w:t>
      </w: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b/>
          <w:sz w:val="22"/>
          <w:szCs w:val="22"/>
        </w:rPr>
      </w:pPr>
      <w:r w:rsidRPr="00855881">
        <w:rPr>
          <w:b/>
          <w:sz w:val="22"/>
          <w:szCs w:val="22"/>
        </w:rPr>
        <w:t>P</w:t>
      </w:r>
      <w:r w:rsidRPr="00855881">
        <w:rPr>
          <w:rFonts w:eastAsia="Calibri"/>
          <w:b/>
          <w:sz w:val="22"/>
          <w:szCs w:val="22"/>
        </w:rPr>
        <w:t xml:space="preserve">rNM </w:t>
      </w:r>
      <w:r w:rsidR="008717E1" w:rsidRPr="00855881">
        <w:rPr>
          <w:rFonts w:eastAsia="Calibri"/>
          <w:b/>
          <w:sz w:val="22"/>
          <w:szCs w:val="22"/>
        </w:rPr>
        <w:t xml:space="preserve">901:2017 - </w:t>
      </w:r>
      <w:r w:rsidRPr="00855881">
        <w:rPr>
          <w:rStyle w:val="Titulonorma"/>
          <w:b w:val="0"/>
          <w:sz w:val="22"/>
          <w:szCs w:val="22"/>
        </w:rPr>
        <w:t>Rodados -Classificação, montagem e manutenção</w:t>
      </w:r>
    </w:p>
    <w:p w:rsidR="00072B64" w:rsidRPr="00855881" w:rsidRDefault="000431FC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sz w:val="22"/>
          <w:szCs w:val="22"/>
        </w:rPr>
      </w:pPr>
      <w:r w:rsidRPr="00855881">
        <w:rPr>
          <w:b/>
          <w:sz w:val="22"/>
          <w:szCs w:val="22"/>
        </w:rPr>
        <w:t xml:space="preserve"> </w:t>
      </w:r>
      <w:r w:rsidR="00072B64" w:rsidRPr="00855881">
        <w:rPr>
          <w:b/>
          <w:sz w:val="22"/>
          <w:szCs w:val="22"/>
        </w:rPr>
        <w:t>P</w:t>
      </w:r>
      <w:r w:rsidR="00072B64" w:rsidRPr="00855881">
        <w:rPr>
          <w:rFonts w:eastAsia="Calibri"/>
          <w:b/>
          <w:sz w:val="22"/>
          <w:szCs w:val="22"/>
        </w:rPr>
        <w:t>rNM</w:t>
      </w:r>
      <w:r w:rsidRPr="00855881">
        <w:rPr>
          <w:rFonts w:eastAsia="Calibri"/>
          <w:b/>
          <w:sz w:val="22"/>
          <w:szCs w:val="22"/>
        </w:rPr>
        <w:t xml:space="preserve"> 90</w:t>
      </w:r>
      <w:r w:rsidR="00003080">
        <w:rPr>
          <w:rFonts w:eastAsia="Calibri"/>
          <w:b/>
          <w:sz w:val="22"/>
          <w:szCs w:val="22"/>
        </w:rPr>
        <w:t>2</w:t>
      </w:r>
      <w:r w:rsidRPr="00855881">
        <w:rPr>
          <w:rFonts w:eastAsia="Calibri"/>
          <w:b/>
          <w:sz w:val="22"/>
          <w:szCs w:val="22"/>
        </w:rPr>
        <w:t xml:space="preserve">:2017 - </w:t>
      </w:r>
      <w:r w:rsidR="00072B64" w:rsidRPr="00855881">
        <w:rPr>
          <w:rStyle w:val="Titulonorma"/>
          <w:b w:val="0"/>
          <w:sz w:val="22"/>
          <w:szCs w:val="22"/>
        </w:rPr>
        <w:t xml:space="preserve">Locomotiva ferroviária – Sistema de vigilâmcia – Requisitos </w:t>
      </w: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sz w:val="22"/>
          <w:szCs w:val="22"/>
        </w:rPr>
      </w:pPr>
      <w:r w:rsidRPr="00855881">
        <w:rPr>
          <w:sz w:val="22"/>
          <w:szCs w:val="22"/>
        </w:rPr>
        <w:t>P</w:t>
      </w:r>
      <w:r w:rsidRPr="00855881">
        <w:rPr>
          <w:rFonts w:eastAsia="Calibri"/>
          <w:b/>
          <w:sz w:val="22"/>
          <w:szCs w:val="22"/>
        </w:rPr>
        <w:t>rNM</w:t>
      </w:r>
      <w:r w:rsidR="008717E1" w:rsidRPr="00855881">
        <w:rPr>
          <w:rFonts w:eastAsia="Calibri"/>
          <w:b/>
          <w:sz w:val="22"/>
          <w:szCs w:val="22"/>
        </w:rPr>
        <w:t xml:space="preserve"> </w:t>
      </w:r>
      <w:r w:rsidR="000431FC" w:rsidRPr="00855881">
        <w:rPr>
          <w:rFonts w:eastAsia="Calibri"/>
          <w:b/>
          <w:sz w:val="22"/>
          <w:szCs w:val="22"/>
        </w:rPr>
        <w:t xml:space="preserve"> </w:t>
      </w:r>
      <w:r w:rsidR="00003080">
        <w:rPr>
          <w:rFonts w:eastAsia="Calibri"/>
          <w:b/>
          <w:sz w:val="22"/>
          <w:szCs w:val="22"/>
        </w:rPr>
        <w:t>903</w:t>
      </w:r>
      <w:r w:rsidR="008717E1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Style w:val="Titulonorma"/>
          <w:b w:val="0"/>
          <w:sz w:val="22"/>
          <w:szCs w:val="22"/>
        </w:rPr>
        <w:t xml:space="preserve">Sinalizaçāo ferroviária – Terminologia </w:t>
      </w: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b/>
          <w:sz w:val="22"/>
          <w:szCs w:val="22"/>
        </w:rPr>
      </w:pPr>
      <w:r w:rsidRPr="00855881">
        <w:rPr>
          <w:rStyle w:val="Titulonorma"/>
          <w:sz w:val="22"/>
          <w:szCs w:val="22"/>
        </w:rPr>
        <w:t xml:space="preserve"> P</w:t>
      </w:r>
      <w:r w:rsidRPr="00855881">
        <w:rPr>
          <w:rFonts w:eastAsia="Calibri"/>
          <w:b/>
          <w:sz w:val="22"/>
          <w:szCs w:val="22"/>
        </w:rPr>
        <w:t>rNM</w:t>
      </w:r>
      <w:r w:rsidR="003436FB" w:rsidRPr="00855881">
        <w:rPr>
          <w:rFonts w:eastAsia="Calibri"/>
          <w:b/>
          <w:sz w:val="22"/>
          <w:szCs w:val="22"/>
        </w:rPr>
        <w:t xml:space="preserve"> </w:t>
      </w:r>
      <w:r w:rsidR="00003080">
        <w:rPr>
          <w:rFonts w:eastAsia="Calibri"/>
          <w:b/>
          <w:sz w:val="22"/>
          <w:szCs w:val="22"/>
        </w:rPr>
        <w:t>904</w:t>
      </w:r>
      <w:r w:rsidR="008717E1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Style w:val="Titulonorma"/>
          <w:b w:val="0"/>
          <w:sz w:val="22"/>
          <w:szCs w:val="22"/>
        </w:rPr>
        <w:t xml:space="preserve">Sinalizaçāo ferroviária – Equipamento electrônico embarcado em veículo  </w:t>
      </w: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rStyle w:val="Titulonorma"/>
          <w:b w:val="0"/>
          <w:sz w:val="22"/>
          <w:szCs w:val="22"/>
        </w:rPr>
      </w:pPr>
      <w:r w:rsidRPr="00855881">
        <w:rPr>
          <w:rStyle w:val="Titulonorma"/>
          <w:sz w:val="22"/>
          <w:szCs w:val="22"/>
        </w:rPr>
        <w:t>P</w:t>
      </w:r>
      <w:r w:rsidRPr="00855881">
        <w:rPr>
          <w:rFonts w:eastAsia="Calibri"/>
          <w:b/>
          <w:sz w:val="22"/>
          <w:szCs w:val="22"/>
        </w:rPr>
        <w:t>rNM</w:t>
      </w:r>
      <w:r w:rsidR="00003080">
        <w:rPr>
          <w:rFonts w:eastAsia="Calibri"/>
          <w:b/>
          <w:sz w:val="22"/>
          <w:szCs w:val="22"/>
        </w:rPr>
        <w:t xml:space="preserve"> 905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Style w:val="Titulonorma"/>
          <w:b w:val="0"/>
          <w:sz w:val="22"/>
          <w:szCs w:val="22"/>
        </w:rPr>
        <w:t xml:space="preserve">Transporte ferroviário – Produto perigoso – Treinamento </w:t>
      </w: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rFonts w:eastAsia="Calibri"/>
          <w:b/>
          <w:sz w:val="22"/>
          <w:szCs w:val="22"/>
        </w:rPr>
      </w:pPr>
      <w:r w:rsidRPr="00855881">
        <w:rPr>
          <w:rStyle w:val="Titulonorma"/>
          <w:sz w:val="22"/>
          <w:szCs w:val="22"/>
        </w:rPr>
        <w:t xml:space="preserve"> P</w:t>
      </w:r>
      <w:r w:rsidRPr="00855881">
        <w:rPr>
          <w:rFonts w:eastAsia="Calibri"/>
          <w:b/>
          <w:sz w:val="22"/>
          <w:szCs w:val="22"/>
        </w:rPr>
        <w:t>rNM</w:t>
      </w:r>
      <w:r w:rsidR="00003080">
        <w:rPr>
          <w:rFonts w:eastAsia="Calibri"/>
          <w:b/>
          <w:sz w:val="22"/>
          <w:szCs w:val="22"/>
        </w:rPr>
        <w:t xml:space="preserve"> 906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Style w:val="Titulonorma"/>
          <w:b w:val="0"/>
          <w:sz w:val="22"/>
          <w:szCs w:val="22"/>
        </w:rPr>
        <w:t xml:space="preserve">Via férrea – Locomotiva – Inspecção de segurança do tráfego </w:t>
      </w:r>
    </w:p>
    <w:p w:rsidR="00072B64" w:rsidRPr="00855881" w:rsidRDefault="00072B64" w:rsidP="00BF7EF7">
      <w:pPr>
        <w:pStyle w:val="PargrafodaLista"/>
        <w:numPr>
          <w:ilvl w:val="1"/>
          <w:numId w:val="13"/>
        </w:numPr>
        <w:tabs>
          <w:tab w:val="clear" w:pos="1440"/>
          <w:tab w:val="num" w:pos="567"/>
        </w:tabs>
        <w:ind w:left="1134" w:hanging="283"/>
        <w:jc w:val="both"/>
        <w:rPr>
          <w:rStyle w:val="Titulonorma"/>
          <w:b w:val="0"/>
          <w:sz w:val="22"/>
          <w:szCs w:val="22"/>
        </w:rPr>
      </w:pPr>
      <w:r w:rsidRPr="00855881">
        <w:rPr>
          <w:rFonts w:eastAsia="Calibri"/>
          <w:b/>
          <w:sz w:val="22"/>
          <w:szCs w:val="22"/>
        </w:rPr>
        <w:t xml:space="preserve"> PrNM</w:t>
      </w:r>
      <w:r w:rsidR="00003080">
        <w:rPr>
          <w:rFonts w:eastAsia="Calibri"/>
          <w:b/>
          <w:sz w:val="22"/>
          <w:szCs w:val="22"/>
        </w:rPr>
        <w:t xml:space="preserve"> 907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Style w:val="Titulonorma"/>
          <w:b w:val="0"/>
          <w:sz w:val="22"/>
          <w:szCs w:val="22"/>
        </w:rPr>
        <w:t xml:space="preserve">Via férrea – Travessia rodoviária – Passagem de nível pública – Equipamento de protecçāo – Classificaçāo e requisitos  </w:t>
      </w:r>
    </w:p>
    <w:p w:rsidR="006C755F" w:rsidRPr="00855881" w:rsidRDefault="006C755F" w:rsidP="00607A8C">
      <w:pPr>
        <w:jc w:val="both"/>
        <w:rPr>
          <w:rStyle w:val="Titulonorma"/>
          <w:b w:val="0"/>
          <w:sz w:val="22"/>
          <w:szCs w:val="22"/>
          <w:lang w:val="pt-PT"/>
        </w:rPr>
      </w:pPr>
    </w:p>
    <w:p w:rsidR="006C755F" w:rsidRPr="00855881" w:rsidRDefault="006C755F" w:rsidP="00607A8C">
      <w:pPr>
        <w:jc w:val="both"/>
        <w:rPr>
          <w:rStyle w:val="Titulonorma"/>
          <w:sz w:val="22"/>
          <w:szCs w:val="22"/>
          <w:lang w:val="pt-PT"/>
        </w:rPr>
      </w:pPr>
      <w:r w:rsidRPr="00855881">
        <w:rPr>
          <w:rStyle w:val="Titulonorma"/>
          <w:sz w:val="22"/>
          <w:szCs w:val="22"/>
          <w:lang w:val="pt-PT"/>
        </w:rPr>
        <w:t>CTN 14 -  Combustíveis</w:t>
      </w:r>
    </w:p>
    <w:p w:rsidR="006C755F" w:rsidRPr="00855881" w:rsidRDefault="00575F5A" w:rsidP="00575F5A">
      <w:pPr>
        <w:pStyle w:val="PargrafodaLista"/>
        <w:numPr>
          <w:ilvl w:val="2"/>
          <w:numId w:val="13"/>
        </w:numPr>
        <w:tabs>
          <w:tab w:val="clear" w:pos="2160"/>
          <w:tab w:val="num" w:pos="142"/>
        </w:tabs>
        <w:ind w:left="1276" w:hanging="425"/>
        <w:jc w:val="both"/>
        <w:rPr>
          <w:rStyle w:val="Titulonorma"/>
          <w:sz w:val="22"/>
          <w:szCs w:val="22"/>
        </w:rPr>
      </w:pPr>
      <w:r>
        <w:rPr>
          <w:rFonts w:eastAsia="Calibri"/>
          <w:b/>
          <w:sz w:val="22"/>
          <w:szCs w:val="22"/>
        </w:rPr>
        <w:t xml:space="preserve"> P</w:t>
      </w:r>
      <w:r w:rsidR="006C755F" w:rsidRPr="00855881">
        <w:rPr>
          <w:rFonts w:eastAsia="Calibri"/>
          <w:b/>
          <w:sz w:val="22"/>
          <w:szCs w:val="22"/>
        </w:rPr>
        <w:t xml:space="preserve">rNM  </w:t>
      </w:r>
      <w:r w:rsidR="006E0305">
        <w:rPr>
          <w:rFonts w:eastAsia="Calibri"/>
          <w:b/>
          <w:sz w:val="22"/>
          <w:szCs w:val="22"/>
        </w:rPr>
        <w:t>908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="006C755F" w:rsidRPr="00855881">
        <w:rPr>
          <w:rStyle w:val="Titulonorma"/>
          <w:b w:val="0"/>
          <w:sz w:val="22"/>
          <w:szCs w:val="22"/>
        </w:rPr>
        <w:t>Mangueira de borracha para condução de gases GPL/GN/GNf</w:t>
      </w:r>
    </w:p>
    <w:p w:rsidR="00920D77" w:rsidRPr="00855881" w:rsidRDefault="00575F5A" w:rsidP="00575F5A">
      <w:pPr>
        <w:pStyle w:val="PargrafodaLista"/>
        <w:numPr>
          <w:ilvl w:val="2"/>
          <w:numId w:val="13"/>
        </w:numPr>
        <w:tabs>
          <w:tab w:val="clear" w:pos="2160"/>
          <w:tab w:val="num" w:pos="142"/>
        </w:tabs>
        <w:ind w:left="1276" w:hanging="425"/>
        <w:jc w:val="both"/>
        <w:rPr>
          <w:rStyle w:val="Titulonorma"/>
          <w:sz w:val="22"/>
          <w:szCs w:val="22"/>
        </w:rPr>
      </w:pPr>
      <w:r>
        <w:rPr>
          <w:rFonts w:eastAsia="Calibri"/>
          <w:b/>
          <w:sz w:val="22"/>
          <w:szCs w:val="22"/>
        </w:rPr>
        <w:t xml:space="preserve"> P</w:t>
      </w:r>
      <w:r w:rsidR="006C755F" w:rsidRPr="00855881">
        <w:rPr>
          <w:rFonts w:eastAsia="Calibri"/>
          <w:b/>
          <w:sz w:val="22"/>
          <w:szCs w:val="22"/>
        </w:rPr>
        <w:t xml:space="preserve">rNM  </w:t>
      </w:r>
      <w:r w:rsidR="006E0305">
        <w:rPr>
          <w:rFonts w:eastAsia="Calibri"/>
          <w:b/>
          <w:sz w:val="22"/>
          <w:szCs w:val="22"/>
        </w:rPr>
        <w:t>909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="006C755F" w:rsidRPr="00855881">
        <w:rPr>
          <w:rStyle w:val="Titulonorma"/>
          <w:b w:val="0"/>
          <w:sz w:val="22"/>
          <w:szCs w:val="22"/>
        </w:rPr>
        <w:t>Central de gás liquefeito de petróleo – GPL</w:t>
      </w:r>
    </w:p>
    <w:p w:rsidR="00920D77" w:rsidRPr="00855881" w:rsidRDefault="006C755F" w:rsidP="00575F5A">
      <w:pPr>
        <w:pStyle w:val="PargrafodaLista"/>
        <w:numPr>
          <w:ilvl w:val="2"/>
          <w:numId w:val="13"/>
        </w:numPr>
        <w:tabs>
          <w:tab w:val="clear" w:pos="2160"/>
          <w:tab w:val="num" w:pos="142"/>
        </w:tabs>
        <w:ind w:left="1276" w:hanging="425"/>
        <w:jc w:val="both"/>
        <w:rPr>
          <w:rFonts w:eastAsiaTheme="minorHAnsi"/>
          <w:b/>
          <w:sz w:val="22"/>
          <w:szCs w:val="22"/>
        </w:rPr>
      </w:pPr>
      <w:r w:rsidRPr="00855881">
        <w:rPr>
          <w:b/>
          <w:sz w:val="22"/>
          <w:szCs w:val="22"/>
        </w:rPr>
        <w:t xml:space="preserve"> </w:t>
      </w:r>
      <w:r w:rsidR="00575F5A">
        <w:rPr>
          <w:rFonts w:eastAsia="Calibri"/>
          <w:b/>
          <w:sz w:val="22"/>
          <w:szCs w:val="22"/>
        </w:rPr>
        <w:t>P</w:t>
      </w:r>
      <w:r w:rsidRPr="00855881">
        <w:rPr>
          <w:rFonts w:eastAsia="Calibri"/>
          <w:b/>
          <w:sz w:val="22"/>
          <w:szCs w:val="22"/>
        </w:rPr>
        <w:t xml:space="preserve">rNM  </w:t>
      </w:r>
      <w:r w:rsidR="006E0305">
        <w:rPr>
          <w:rFonts w:eastAsia="Calibri"/>
          <w:b/>
          <w:sz w:val="22"/>
          <w:szCs w:val="22"/>
        </w:rPr>
        <w:t>910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Fonts w:eastAsia="Calibri"/>
          <w:sz w:val="22"/>
          <w:szCs w:val="22"/>
        </w:rPr>
        <w:t>Regulador de pressāo para gases combustíveis</w:t>
      </w:r>
    </w:p>
    <w:p w:rsidR="00920D77" w:rsidRPr="00855881" w:rsidRDefault="00575F5A" w:rsidP="00575F5A">
      <w:pPr>
        <w:pStyle w:val="PargrafodaLista"/>
        <w:numPr>
          <w:ilvl w:val="2"/>
          <w:numId w:val="13"/>
        </w:numPr>
        <w:tabs>
          <w:tab w:val="clear" w:pos="2160"/>
          <w:tab w:val="num" w:pos="142"/>
        </w:tabs>
        <w:ind w:left="1276" w:hanging="425"/>
        <w:jc w:val="both"/>
        <w:rPr>
          <w:rFonts w:eastAsia="Calibri"/>
          <w:sz w:val="22"/>
          <w:szCs w:val="22"/>
        </w:rPr>
      </w:pPr>
      <w:r>
        <w:rPr>
          <w:rFonts w:eastAsia="Calibri"/>
          <w:b/>
          <w:sz w:val="22"/>
          <w:szCs w:val="22"/>
        </w:rPr>
        <w:t>P</w:t>
      </w:r>
      <w:r w:rsidR="006C755F" w:rsidRPr="00855881">
        <w:rPr>
          <w:rFonts w:eastAsia="Calibri"/>
          <w:b/>
          <w:sz w:val="22"/>
          <w:szCs w:val="22"/>
        </w:rPr>
        <w:t>rNM</w:t>
      </w:r>
      <w:r w:rsidR="00C74B67" w:rsidRPr="00855881">
        <w:rPr>
          <w:rFonts w:eastAsia="Calibri"/>
          <w:b/>
          <w:sz w:val="22"/>
          <w:szCs w:val="22"/>
        </w:rPr>
        <w:t xml:space="preserve"> </w:t>
      </w:r>
      <w:r w:rsidR="00213A3C">
        <w:rPr>
          <w:rFonts w:eastAsia="Calibri"/>
          <w:b/>
          <w:sz w:val="22"/>
          <w:szCs w:val="22"/>
        </w:rPr>
        <w:t xml:space="preserve"> 911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="006C755F" w:rsidRPr="00855881">
        <w:rPr>
          <w:rFonts w:eastAsia="Calibri"/>
          <w:sz w:val="22"/>
          <w:szCs w:val="22"/>
        </w:rPr>
        <w:t xml:space="preserve">Medidor de gás  tipo diafragma, para instalações residenciais – Requisitos e métodos de ensaios </w:t>
      </w:r>
    </w:p>
    <w:p w:rsidR="00920D77" w:rsidRPr="00855881" w:rsidRDefault="00920D77" w:rsidP="00607A8C">
      <w:pPr>
        <w:jc w:val="both"/>
        <w:rPr>
          <w:rFonts w:ascii="Times New Roman" w:eastAsia="Calibri" w:hAnsi="Times New Roman" w:cs="Times New Roman"/>
          <w:sz w:val="22"/>
          <w:szCs w:val="22"/>
          <w:lang w:val="pt-PT"/>
        </w:rPr>
      </w:pPr>
    </w:p>
    <w:p w:rsidR="006C755F" w:rsidRPr="00855881" w:rsidRDefault="00920D77" w:rsidP="00607A8C">
      <w:pPr>
        <w:jc w:val="both"/>
        <w:rPr>
          <w:rFonts w:ascii="Times New Roman" w:eastAsiaTheme="minorHAnsi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eastAsia="Calibri" w:hAnsi="Times New Roman" w:cs="Times New Roman"/>
          <w:b/>
          <w:sz w:val="22"/>
          <w:szCs w:val="22"/>
          <w:lang w:val="pt-PT"/>
        </w:rPr>
        <w:t>CTN 15 – Caldeiras e Recipientes sob Pressao</w:t>
      </w:r>
    </w:p>
    <w:p w:rsidR="004F7BBD" w:rsidRPr="00855881" w:rsidRDefault="004F7BBD" w:rsidP="00575F5A">
      <w:pPr>
        <w:pStyle w:val="PargrafodaLista"/>
        <w:numPr>
          <w:ilvl w:val="3"/>
          <w:numId w:val="13"/>
        </w:numPr>
        <w:tabs>
          <w:tab w:val="clear" w:pos="502"/>
          <w:tab w:val="num" w:pos="1276"/>
        </w:tabs>
        <w:ind w:firstLine="491"/>
        <w:jc w:val="both"/>
        <w:rPr>
          <w:b/>
          <w:sz w:val="22"/>
          <w:szCs w:val="22"/>
        </w:rPr>
      </w:pPr>
      <w:r w:rsidRPr="00855881">
        <w:rPr>
          <w:rFonts w:eastAsia="Calibri"/>
          <w:b/>
          <w:sz w:val="22"/>
          <w:szCs w:val="22"/>
        </w:rPr>
        <w:t xml:space="preserve"> </w:t>
      </w:r>
      <w:r w:rsidR="00517522" w:rsidRPr="00855881">
        <w:rPr>
          <w:rFonts w:eastAsia="Calibri"/>
          <w:b/>
          <w:sz w:val="22"/>
          <w:szCs w:val="22"/>
        </w:rPr>
        <w:t>P</w:t>
      </w:r>
      <w:r w:rsidRPr="00855881">
        <w:rPr>
          <w:rFonts w:eastAsia="Calibri"/>
          <w:b/>
          <w:sz w:val="22"/>
          <w:szCs w:val="22"/>
        </w:rPr>
        <w:t xml:space="preserve">rNM  </w:t>
      </w:r>
      <w:r w:rsidR="00D17332">
        <w:rPr>
          <w:rFonts w:eastAsia="Calibri"/>
          <w:b/>
          <w:sz w:val="22"/>
          <w:szCs w:val="22"/>
        </w:rPr>
        <w:t>912</w:t>
      </w:r>
      <w:r w:rsidR="003436FB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Style w:val="Titulonorma"/>
          <w:b w:val="0"/>
          <w:sz w:val="22"/>
          <w:szCs w:val="22"/>
        </w:rPr>
        <w:t xml:space="preserve">Líquido gerador de espuma (LGE), de baixa expansão, para combate a </w:t>
      </w:r>
      <w:r w:rsidR="00DE027C">
        <w:rPr>
          <w:rStyle w:val="Titulonorma"/>
          <w:b w:val="0"/>
          <w:sz w:val="22"/>
          <w:szCs w:val="22"/>
        </w:rPr>
        <w:t xml:space="preserve">  </w:t>
      </w:r>
      <w:r w:rsidRPr="00855881">
        <w:rPr>
          <w:rStyle w:val="Titulonorma"/>
          <w:b w:val="0"/>
          <w:sz w:val="22"/>
          <w:szCs w:val="22"/>
        </w:rPr>
        <w:t>incêndios em combustíveis líquidos</w:t>
      </w:r>
    </w:p>
    <w:p w:rsidR="004F7BBD" w:rsidRPr="00855881" w:rsidRDefault="00517522" w:rsidP="00575F5A">
      <w:pPr>
        <w:pStyle w:val="PargrafodaLista"/>
        <w:numPr>
          <w:ilvl w:val="3"/>
          <w:numId w:val="13"/>
        </w:numPr>
        <w:tabs>
          <w:tab w:val="clear" w:pos="502"/>
          <w:tab w:val="num" w:pos="1276"/>
        </w:tabs>
        <w:ind w:firstLine="491"/>
        <w:jc w:val="both"/>
        <w:rPr>
          <w:rFonts w:eastAsia="Calibri"/>
          <w:sz w:val="22"/>
          <w:szCs w:val="22"/>
        </w:rPr>
      </w:pPr>
      <w:r w:rsidRPr="00855881">
        <w:rPr>
          <w:b/>
          <w:sz w:val="22"/>
          <w:szCs w:val="22"/>
        </w:rPr>
        <w:t>P</w:t>
      </w:r>
      <w:r w:rsidR="004F7BBD" w:rsidRPr="00855881">
        <w:rPr>
          <w:rFonts w:eastAsia="Calibri"/>
          <w:b/>
          <w:sz w:val="22"/>
          <w:szCs w:val="22"/>
        </w:rPr>
        <w:t xml:space="preserve">rNM  </w:t>
      </w:r>
      <w:r w:rsidR="00213A3C">
        <w:rPr>
          <w:rFonts w:eastAsia="Calibri"/>
          <w:b/>
          <w:sz w:val="22"/>
          <w:szCs w:val="22"/>
        </w:rPr>
        <w:t>9820-2</w:t>
      </w:r>
      <w:r w:rsidR="00C64C94" w:rsidRPr="00855881">
        <w:rPr>
          <w:rFonts w:eastAsia="Calibri"/>
          <w:b/>
          <w:sz w:val="22"/>
          <w:szCs w:val="22"/>
        </w:rPr>
        <w:t xml:space="preserve">:2017 - </w:t>
      </w:r>
      <w:r w:rsidR="004F7BBD" w:rsidRPr="00855881">
        <w:rPr>
          <w:rFonts w:eastAsia="Calibri"/>
          <w:sz w:val="22"/>
          <w:szCs w:val="22"/>
        </w:rPr>
        <w:t xml:space="preserve">Sinalização de segurança contra incêndio e pânico </w:t>
      </w:r>
    </w:p>
    <w:p w:rsidR="004F7BBD" w:rsidRPr="00855881" w:rsidRDefault="004F7BBD" w:rsidP="00575F5A">
      <w:pPr>
        <w:tabs>
          <w:tab w:val="num" w:pos="1276"/>
        </w:tabs>
        <w:ind w:firstLine="491"/>
        <w:jc w:val="both"/>
        <w:rPr>
          <w:rFonts w:ascii="Times New Roman" w:eastAsia="Calibri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eastAsia="Calibri" w:hAnsi="Times New Roman" w:cs="Times New Roman"/>
          <w:sz w:val="22"/>
          <w:szCs w:val="22"/>
          <w:lang w:val="pt-PT"/>
        </w:rPr>
        <w:t xml:space="preserve">Parte 2 – Símbolos e suas formas, dimensões e cores  </w:t>
      </w:r>
    </w:p>
    <w:p w:rsidR="004F7BBD" w:rsidRPr="00855881" w:rsidRDefault="004F7BBD" w:rsidP="00575F5A">
      <w:pPr>
        <w:pStyle w:val="PargrafodaLista"/>
        <w:numPr>
          <w:ilvl w:val="3"/>
          <w:numId w:val="13"/>
        </w:numPr>
        <w:tabs>
          <w:tab w:val="clear" w:pos="502"/>
          <w:tab w:val="num" w:pos="1276"/>
        </w:tabs>
        <w:ind w:firstLine="491"/>
        <w:jc w:val="both"/>
        <w:rPr>
          <w:rFonts w:eastAsia="Calibri"/>
          <w:sz w:val="22"/>
          <w:szCs w:val="22"/>
        </w:rPr>
      </w:pPr>
      <w:r w:rsidRPr="00855881">
        <w:rPr>
          <w:b/>
          <w:sz w:val="22"/>
          <w:szCs w:val="22"/>
        </w:rPr>
        <w:t xml:space="preserve"> </w:t>
      </w:r>
      <w:r w:rsidR="00517522" w:rsidRPr="00855881">
        <w:rPr>
          <w:b/>
          <w:sz w:val="22"/>
          <w:szCs w:val="22"/>
        </w:rPr>
        <w:t>P</w:t>
      </w:r>
      <w:r w:rsidRPr="00855881">
        <w:rPr>
          <w:rFonts w:eastAsia="Calibri"/>
          <w:b/>
          <w:sz w:val="22"/>
          <w:szCs w:val="22"/>
        </w:rPr>
        <w:t>rNM</w:t>
      </w:r>
      <w:r w:rsidR="00213A3C">
        <w:rPr>
          <w:rFonts w:eastAsia="Calibri"/>
          <w:b/>
          <w:sz w:val="22"/>
          <w:szCs w:val="22"/>
        </w:rPr>
        <w:t xml:space="preserve"> 820-3</w:t>
      </w:r>
      <w:r w:rsidR="00C64C94" w:rsidRPr="00855881">
        <w:rPr>
          <w:rFonts w:eastAsia="Calibri"/>
          <w:b/>
          <w:sz w:val="22"/>
          <w:szCs w:val="22"/>
        </w:rPr>
        <w:t xml:space="preserve">:2017 - </w:t>
      </w:r>
      <w:r w:rsidRPr="00855881">
        <w:rPr>
          <w:rFonts w:eastAsia="Calibri"/>
          <w:sz w:val="22"/>
          <w:szCs w:val="22"/>
        </w:rPr>
        <w:t xml:space="preserve">Sinalização de segurança contra incêndio e pânico </w:t>
      </w:r>
    </w:p>
    <w:p w:rsidR="004F7BBD" w:rsidRPr="00855881" w:rsidRDefault="004F7BBD" w:rsidP="00575F5A">
      <w:pPr>
        <w:tabs>
          <w:tab w:val="num" w:pos="1276"/>
        </w:tabs>
        <w:ind w:firstLine="491"/>
        <w:jc w:val="both"/>
        <w:rPr>
          <w:rFonts w:ascii="Times New Roman" w:eastAsia="Calibri" w:hAnsi="Times New Roman" w:cs="Times New Roman"/>
          <w:b/>
          <w:sz w:val="22"/>
          <w:szCs w:val="22"/>
          <w:lang w:val="pt-PT"/>
        </w:rPr>
      </w:pPr>
      <w:r w:rsidRPr="00855881">
        <w:rPr>
          <w:rFonts w:ascii="Times New Roman" w:eastAsia="Calibri" w:hAnsi="Times New Roman" w:cs="Times New Roman"/>
          <w:sz w:val="22"/>
          <w:szCs w:val="22"/>
          <w:lang w:val="pt-PT"/>
        </w:rPr>
        <w:t>Parte 3 : Requisitos e métodos de ensaio</w:t>
      </w:r>
    </w:p>
    <w:p w:rsidR="004F7BBD" w:rsidRPr="00DE027C" w:rsidRDefault="00517522" w:rsidP="00DE027C">
      <w:pPr>
        <w:pStyle w:val="PargrafodaLista"/>
        <w:numPr>
          <w:ilvl w:val="3"/>
          <w:numId w:val="13"/>
        </w:numPr>
        <w:tabs>
          <w:tab w:val="clear" w:pos="502"/>
          <w:tab w:val="num" w:pos="567"/>
          <w:tab w:val="num" w:pos="1134"/>
          <w:tab w:val="num" w:pos="1276"/>
        </w:tabs>
        <w:ind w:firstLine="491"/>
        <w:jc w:val="both"/>
        <w:rPr>
          <w:b/>
          <w:sz w:val="22"/>
          <w:szCs w:val="22"/>
        </w:rPr>
      </w:pPr>
      <w:r w:rsidRPr="00DE027C">
        <w:rPr>
          <w:sz w:val="22"/>
          <w:szCs w:val="22"/>
        </w:rPr>
        <w:t>P</w:t>
      </w:r>
      <w:r w:rsidR="004F7BBD" w:rsidRPr="00DE027C">
        <w:rPr>
          <w:rFonts w:eastAsia="Calibri"/>
          <w:b/>
          <w:sz w:val="22"/>
          <w:szCs w:val="22"/>
        </w:rPr>
        <w:t>rNM</w:t>
      </w:r>
      <w:r w:rsidR="00D17332" w:rsidRPr="00DE027C">
        <w:rPr>
          <w:rFonts w:eastAsia="Calibri"/>
          <w:b/>
          <w:sz w:val="22"/>
          <w:szCs w:val="22"/>
        </w:rPr>
        <w:t xml:space="preserve">  913</w:t>
      </w:r>
      <w:r w:rsidR="00C64C94" w:rsidRPr="00DE027C">
        <w:rPr>
          <w:rFonts w:eastAsia="Calibri"/>
          <w:b/>
          <w:sz w:val="22"/>
          <w:szCs w:val="22"/>
        </w:rPr>
        <w:t xml:space="preserve">:2017 - </w:t>
      </w:r>
      <w:r w:rsidR="004F7BBD" w:rsidRPr="00DE027C">
        <w:rPr>
          <w:rStyle w:val="Titulonorma"/>
          <w:b w:val="0"/>
          <w:sz w:val="22"/>
          <w:szCs w:val="22"/>
        </w:rPr>
        <w:t xml:space="preserve"> Glossário de termos relacionados com a segurança contra incêndio  </w:t>
      </w:r>
    </w:p>
    <w:p w:rsidR="004F7BBD" w:rsidRPr="00855881" w:rsidRDefault="004F7BBD" w:rsidP="00575F5A">
      <w:pPr>
        <w:tabs>
          <w:tab w:val="num" w:pos="1276"/>
        </w:tabs>
        <w:ind w:firstLine="491"/>
        <w:jc w:val="both"/>
        <w:rPr>
          <w:rFonts w:ascii="Times New Roman" w:hAnsi="Times New Roman" w:cs="Times New Roman"/>
          <w:b/>
          <w:sz w:val="22"/>
          <w:szCs w:val="22"/>
          <w:lang w:val="pt-PT"/>
        </w:rPr>
      </w:pPr>
    </w:p>
    <w:p w:rsidR="00717319" w:rsidRPr="00855881" w:rsidRDefault="00717319" w:rsidP="00607A8C">
      <w:pPr>
        <w:jc w:val="both"/>
        <w:rPr>
          <w:rFonts w:ascii="Times New Roman" w:hAnsi="Times New Roman" w:cs="Times New Roman"/>
          <w:sz w:val="22"/>
          <w:szCs w:val="22"/>
          <w:lang w:val="pt-PT"/>
        </w:rPr>
      </w:pPr>
    </w:p>
    <w:p w:rsidR="00D477FA" w:rsidRPr="00A03490" w:rsidRDefault="00D477FA" w:rsidP="00A03490">
      <w:pPr>
        <w:jc w:val="both"/>
        <w:rPr>
          <w:rFonts w:ascii="Times New Roman" w:hAnsi="Times New Roman" w:cs="Times New Roman"/>
          <w:lang w:val="pt-PT"/>
        </w:rPr>
      </w:pPr>
      <w:bookmarkStart w:id="0" w:name="_GoBack"/>
      <w:bookmarkEnd w:id="0"/>
    </w:p>
    <w:p w:rsidR="00A43FAC" w:rsidRPr="00A03490" w:rsidRDefault="00A43FAC" w:rsidP="00A03490">
      <w:pPr>
        <w:jc w:val="both"/>
        <w:rPr>
          <w:rFonts w:ascii="Times New Roman" w:hAnsi="Times New Roman" w:cs="Times New Roman"/>
          <w:lang w:val="pt-PT"/>
        </w:rPr>
      </w:pPr>
    </w:p>
    <w:p w:rsidR="00A43FAC" w:rsidRDefault="00A43FAC" w:rsidP="00A03490">
      <w:pPr>
        <w:jc w:val="both"/>
        <w:rPr>
          <w:lang w:val="pt-PT"/>
        </w:rPr>
      </w:pPr>
    </w:p>
    <w:p w:rsidR="00A43FAC" w:rsidRDefault="00A43FAC" w:rsidP="00A03490">
      <w:pPr>
        <w:jc w:val="both"/>
        <w:rPr>
          <w:lang w:val="pt-PT"/>
        </w:rPr>
      </w:pPr>
    </w:p>
    <w:p w:rsidR="00A43FAC" w:rsidRDefault="00A43FAC" w:rsidP="00A03490">
      <w:pPr>
        <w:jc w:val="both"/>
        <w:rPr>
          <w:lang w:val="pt-PT"/>
        </w:rPr>
      </w:pPr>
    </w:p>
    <w:p w:rsidR="00A43FAC" w:rsidRDefault="00A43FAC" w:rsidP="00A03490">
      <w:pPr>
        <w:jc w:val="both"/>
        <w:rPr>
          <w:lang w:val="pt-PT"/>
        </w:rPr>
      </w:pPr>
    </w:p>
    <w:p w:rsidR="00A43FAC" w:rsidRDefault="00A43FAC" w:rsidP="002A3B33">
      <w:pPr>
        <w:rPr>
          <w:lang w:val="pt-PT"/>
        </w:rPr>
      </w:pPr>
    </w:p>
    <w:p w:rsidR="00A43FAC" w:rsidRPr="00A43FAC" w:rsidRDefault="00A43FAC" w:rsidP="002A3B33">
      <w:pPr>
        <w:rPr>
          <w:lang w:val="pt-PT"/>
        </w:rPr>
      </w:pPr>
    </w:p>
    <w:sectPr w:rsidR="00A43FAC" w:rsidRPr="00A43FAC" w:rsidSect="002A3B33">
      <w:headerReference w:type="even" r:id="rId8"/>
      <w:headerReference w:type="default" r:id="rId9"/>
      <w:footerReference w:type="default" r:id="rId10"/>
      <w:headerReference w:type="first" r:id="rId11"/>
      <w:pgSz w:w="11900" w:h="16840"/>
      <w:pgMar w:top="1440" w:right="843" w:bottom="1440" w:left="1418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7073" w:rsidRDefault="00757073" w:rsidP="00D62158">
      <w:r>
        <w:separator/>
      </w:r>
    </w:p>
  </w:endnote>
  <w:endnote w:type="continuationSeparator" w:id="0">
    <w:p w:rsidR="00757073" w:rsidRDefault="00757073" w:rsidP="00D621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5F5A" w:rsidRPr="001A1146" w:rsidRDefault="00575F5A" w:rsidP="000F2E8B">
    <w:pPr>
      <w:pStyle w:val="Rodap"/>
      <w:rPr>
        <w:rFonts w:ascii="Times New Roman" w:hAnsi="Times New Roman" w:cs="Times New Roman"/>
        <w:b/>
        <w:color w:val="FF0000"/>
        <w:lang w:val="pt-BR"/>
      </w:rPr>
    </w:pPr>
    <w:r w:rsidRPr="001A1146">
      <w:rPr>
        <w:rFonts w:ascii="Times New Roman" w:hAnsi="Times New Roman" w:cs="Times New Roman"/>
        <w:b/>
        <w:color w:val="FF0000"/>
        <w:lang w:val="pt-BR"/>
      </w:rPr>
      <w:t>O seu parceiro para a qualidade</w:t>
    </w:r>
  </w:p>
  <w:p w:rsidR="00575F5A" w:rsidRPr="001A1146" w:rsidRDefault="00757073">
    <w:pPr>
      <w:pStyle w:val="Rodap"/>
      <w:rPr>
        <w:lang w:val="pt-BR"/>
      </w:rPr>
    </w:pPr>
    <w:r>
      <w:rPr>
        <w:noProof/>
        <w:lang w:val="pt-PT" w:eastAsia="pt-PT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52" type="#_x0000_t202" style="position:absolute;margin-left:-90pt;margin-top:5.6pt;width:603pt;height:1in;z-index:251660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" fillcolor="#140090" stroked="f">
          <v:textbox>
            <w:txbxContent>
              <w:p w:rsidR="00575F5A" w:rsidRDefault="00575F5A" w:rsidP="00B8607F">
                <w:pPr>
                  <w:pStyle w:val="Rodap"/>
                </w:pPr>
              </w:p>
              <w:p w:rsidR="00575F5A" w:rsidRPr="001A1146" w:rsidRDefault="00575F5A" w:rsidP="00171B14">
                <w:pPr>
                  <w:pStyle w:val="Rodap"/>
                  <w:jc w:val="center"/>
                  <w:rPr>
                    <w:lang w:val="pt-BR"/>
                  </w:rPr>
                </w:pPr>
                <w:r w:rsidRPr="001A1146">
                  <w:rPr>
                    <w:lang w:val="pt-BR"/>
                  </w:rPr>
                  <w:t>Tel: +258 21344600 | Fax: +258 21344610 | Linha verde: 86300600| www.innoq.gov.mz</w:t>
                </w:r>
              </w:p>
              <w:p w:rsidR="00575F5A" w:rsidRDefault="00575F5A" w:rsidP="00171B14">
                <w:pPr>
                  <w:pStyle w:val="Rodap"/>
                  <w:jc w:val="center"/>
                  <w:rPr>
                    <w:lang w:val="pt-BR"/>
                  </w:rPr>
                </w:pPr>
                <w:r w:rsidRPr="001A1146">
                  <w:rPr>
                    <w:lang w:val="pt-BR"/>
                  </w:rPr>
                  <w:t>Av. Moçambique | Parcela 7168/D1/7 | Bairro do Zimpeto | C.P: 2983;</w:t>
                </w:r>
              </w:p>
              <w:p w:rsidR="00575F5A" w:rsidRPr="001A1146" w:rsidRDefault="00575F5A" w:rsidP="00171B14">
                <w:pPr>
                  <w:pStyle w:val="Rodap"/>
                  <w:jc w:val="center"/>
                  <w:rPr>
                    <w:lang w:val="pt-BR"/>
                  </w:rPr>
                </w:pPr>
                <w:r>
                  <w:rPr>
                    <w:lang w:val="pt-BR"/>
                  </w:rPr>
                  <w:t>Maputo - Moçambique</w:t>
                </w:r>
              </w:p>
            </w:txbxContent>
          </v:textbox>
          <w10:wrap type="square"/>
        </v:shape>
      </w:pict>
    </w:r>
  </w:p>
  <w:p w:rsidR="00575F5A" w:rsidRPr="001A1146" w:rsidRDefault="00575F5A">
    <w:pPr>
      <w:pStyle w:val="Rodap"/>
      <w:rPr>
        <w:lang w:val="pt-BR"/>
      </w:rPr>
    </w:pPr>
  </w:p>
  <w:p w:rsidR="00575F5A" w:rsidRPr="001A1146" w:rsidRDefault="00575F5A">
    <w:pPr>
      <w:pStyle w:val="Rodap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7073" w:rsidRDefault="00757073" w:rsidP="00D62158">
      <w:r>
        <w:separator/>
      </w:r>
    </w:p>
  </w:footnote>
  <w:footnote w:type="continuationSeparator" w:id="0">
    <w:p w:rsidR="00757073" w:rsidRDefault="00757073" w:rsidP="00D621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5F5A" w:rsidRDefault="00757073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14.1pt;height:240.8pt;z-index:-251657728;mso-wrap-edited:f;mso-position-horizontal:center;mso-position-horizontal-relative:margin;mso-position-vertical:center;mso-position-vertical-relative:margin" wrapcoords="-39 0 -39 21465 21600 21465 21600 0 -39 0">
          <v:imagedata r:id="rId1" o:title="Untitled-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5F5A" w:rsidRDefault="00575F5A">
    <w:pPr>
      <w:pStyle w:val="Cabealho"/>
    </w:pPr>
    <w:r>
      <w:rPr>
        <w:rFonts w:ascii="Times New Roman" w:hAnsi="Times New Roman" w:cs="Times New Roman"/>
        <w:b/>
        <w:noProof/>
        <w:color w:val="FF0000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2514600</wp:posOffset>
          </wp:positionH>
          <wp:positionV relativeFrom="paragraph">
            <wp:posOffset>5112385</wp:posOffset>
          </wp:positionV>
          <wp:extent cx="3931285" cy="4262755"/>
          <wp:effectExtent l="0" t="0" r="5715" b="4445"/>
          <wp:wrapNone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31285" cy="42627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757073">
      <w:rPr>
        <w:noProof/>
        <w:lang w:val="pt-PT" w:eastAsia="pt-PT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53" type="#_x0000_t202" style="position:absolute;margin-left:234pt;margin-top:270.6pt;width:23.45pt;height:1in;z-index:25165568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" filled="f" stroked="f">
          <v:textbox>
            <w:txbxContent>
              <w:p w:rsidR="00575F5A" w:rsidRDefault="00575F5A"/>
            </w:txbxContent>
          </v:textbox>
        </v:shape>
      </w:pict>
    </w:r>
    <w:r>
      <w:rPr>
        <w:noProof/>
      </w:rPr>
      <w:drawing>
        <wp:inline distT="0" distB="0" distL="0" distR="0">
          <wp:extent cx="1136890" cy="1002108"/>
          <wp:effectExtent l="19050" t="0" r="61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Novo.tif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8020" cy="10031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5F5A" w:rsidRDefault="00757073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14.1pt;height:240.8pt;z-index:-251656704;mso-wrap-edited:f;mso-position-horizontal:center;mso-position-horizontal-relative:margin;mso-position-vertical:center;mso-position-vertical-relative:margin" wrapcoords="-39 0 -39 21465 21600 21465 21600 0 -39 0">
          <v:imagedata r:id="rId1" o:title="Untitled-2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D60012"/>
    <w:multiLevelType w:val="hybridMultilevel"/>
    <w:tmpl w:val="F910904A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C92345"/>
    <w:multiLevelType w:val="hybridMultilevel"/>
    <w:tmpl w:val="FCD87452"/>
    <w:lvl w:ilvl="0" w:tplc="F68015D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880D0F"/>
    <w:multiLevelType w:val="hybridMultilevel"/>
    <w:tmpl w:val="5CA486B0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944A4A"/>
    <w:multiLevelType w:val="hybridMultilevel"/>
    <w:tmpl w:val="2A36A808"/>
    <w:lvl w:ilvl="0" w:tplc="9D1CB7C8">
      <w:start w:val="1"/>
      <w:numFmt w:val="decimal"/>
      <w:lvlText w:val="%1."/>
      <w:lvlJc w:val="left"/>
      <w:pPr>
        <w:ind w:left="450" w:hanging="360"/>
      </w:pPr>
      <w:rPr>
        <w:b/>
        <w:color w:val="auto"/>
        <w:sz w:val="24"/>
        <w:szCs w:val="24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E7C236E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b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72B7467"/>
    <w:multiLevelType w:val="hybridMultilevel"/>
    <w:tmpl w:val="1A86C86E"/>
    <w:lvl w:ilvl="0" w:tplc="9A80D034">
      <w:start w:val="1"/>
      <w:numFmt w:val="decimal"/>
      <w:lvlText w:val="%1."/>
      <w:lvlJc w:val="left"/>
      <w:pPr>
        <w:ind w:left="720" w:hanging="360"/>
      </w:pPr>
      <w:rPr>
        <w:rFonts w:ascii="Cambria" w:eastAsia="MS Mincho" w:hAnsi="Cambria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5E1162"/>
    <w:multiLevelType w:val="hybridMultilevel"/>
    <w:tmpl w:val="473AF34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1F7A21"/>
    <w:multiLevelType w:val="hybridMultilevel"/>
    <w:tmpl w:val="473AF34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9E61D9"/>
    <w:multiLevelType w:val="hybridMultilevel"/>
    <w:tmpl w:val="157EC45E"/>
    <w:lvl w:ilvl="0" w:tplc="EB084FEA">
      <w:start w:val="1"/>
      <w:numFmt w:val="decimal"/>
      <w:lvlText w:val="%1."/>
      <w:lvlJc w:val="left"/>
      <w:pPr>
        <w:ind w:left="108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0223B7D"/>
    <w:multiLevelType w:val="hybridMultilevel"/>
    <w:tmpl w:val="715691C8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BE135C"/>
    <w:multiLevelType w:val="hybridMultilevel"/>
    <w:tmpl w:val="987C469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8C7C6E"/>
    <w:multiLevelType w:val="hybridMultilevel"/>
    <w:tmpl w:val="473AF34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4250DD"/>
    <w:multiLevelType w:val="hybridMultilevel"/>
    <w:tmpl w:val="D82246D6"/>
    <w:lvl w:ilvl="0" w:tplc="0409000F">
      <w:start w:val="1"/>
      <w:numFmt w:val="decimal"/>
      <w:lvlText w:val="%1."/>
      <w:lvlJc w:val="left"/>
      <w:pPr>
        <w:ind w:left="1495" w:hanging="360"/>
      </w:pPr>
    </w:lvl>
    <w:lvl w:ilvl="1" w:tplc="04090019">
      <w:start w:val="1"/>
      <w:numFmt w:val="lowerLetter"/>
      <w:lvlText w:val="%2."/>
      <w:lvlJc w:val="left"/>
      <w:pPr>
        <w:ind w:left="2215" w:hanging="360"/>
      </w:pPr>
    </w:lvl>
    <w:lvl w:ilvl="2" w:tplc="0409001B" w:tentative="1">
      <w:start w:val="1"/>
      <w:numFmt w:val="lowerRoman"/>
      <w:lvlText w:val="%3."/>
      <w:lvlJc w:val="right"/>
      <w:pPr>
        <w:ind w:left="2935" w:hanging="180"/>
      </w:pPr>
    </w:lvl>
    <w:lvl w:ilvl="3" w:tplc="0409000F" w:tentative="1">
      <w:start w:val="1"/>
      <w:numFmt w:val="decimal"/>
      <w:lvlText w:val="%4."/>
      <w:lvlJc w:val="left"/>
      <w:pPr>
        <w:ind w:left="3655" w:hanging="360"/>
      </w:pPr>
    </w:lvl>
    <w:lvl w:ilvl="4" w:tplc="04090019" w:tentative="1">
      <w:start w:val="1"/>
      <w:numFmt w:val="lowerLetter"/>
      <w:lvlText w:val="%5."/>
      <w:lvlJc w:val="left"/>
      <w:pPr>
        <w:ind w:left="4375" w:hanging="360"/>
      </w:pPr>
    </w:lvl>
    <w:lvl w:ilvl="5" w:tplc="0409001B" w:tentative="1">
      <w:start w:val="1"/>
      <w:numFmt w:val="lowerRoman"/>
      <w:lvlText w:val="%6."/>
      <w:lvlJc w:val="right"/>
      <w:pPr>
        <w:ind w:left="5095" w:hanging="180"/>
      </w:pPr>
    </w:lvl>
    <w:lvl w:ilvl="6" w:tplc="0409000F" w:tentative="1">
      <w:start w:val="1"/>
      <w:numFmt w:val="decimal"/>
      <w:lvlText w:val="%7."/>
      <w:lvlJc w:val="left"/>
      <w:pPr>
        <w:ind w:left="5815" w:hanging="360"/>
      </w:pPr>
    </w:lvl>
    <w:lvl w:ilvl="7" w:tplc="04090019" w:tentative="1">
      <w:start w:val="1"/>
      <w:numFmt w:val="lowerLetter"/>
      <w:lvlText w:val="%8."/>
      <w:lvlJc w:val="left"/>
      <w:pPr>
        <w:ind w:left="6535" w:hanging="360"/>
      </w:pPr>
    </w:lvl>
    <w:lvl w:ilvl="8" w:tplc="040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2" w15:restartNumberingAfterBreak="0">
    <w:nsid w:val="43317BAB"/>
    <w:multiLevelType w:val="hybridMultilevel"/>
    <w:tmpl w:val="2110C0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412B29"/>
    <w:multiLevelType w:val="hybridMultilevel"/>
    <w:tmpl w:val="F0769FE0"/>
    <w:lvl w:ilvl="0" w:tplc="037CF10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  <w:sz w:val="24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895AA1"/>
    <w:multiLevelType w:val="hybridMultilevel"/>
    <w:tmpl w:val="3EB076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345ADD"/>
    <w:multiLevelType w:val="hybridMultilevel"/>
    <w:tmpl w:val="4058BC0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12"/>
  </w:num>
  <w:num w:numId="4">
    <w:abstractNumId w:val="1"/>
  </w:num>
  <w:num w:numId="5">
    <w:abstractNumId w:val="6"/>
  </w:num>
  <w:num w:numId="6">
    <w:abstractNumId w:val="5"/>
  </w:num>
  <w:num w:numId="7">
    <w:abstractNumId w:val="15"/>
  </w:num>
  <w:num w:numId="8">
    <w:abstractNumId w:val="8"/>
  </w:num>
  <w:num w:numId="9">
    <w:abstractNumId w:val="9"/>
  </w:num>
  <w:num w:numId="10">
    <w:abstractNumId w:val="13"/>
  </w:num>
  <w:num w:numId="11">
    <w:abstractNumId w:val="14"/>
  </w:num>
  <w:num w:numId="12">
    <w:abstractNumId w:val="7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2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62158"/>
    <w:rsid w:val="00003080"/>
    <w:rsid w:val="00017A3D"/>
    <w:rsid w:val="00021A4D"/>
    <w:rsid w:val="0003485D"/>
    <w:rsid w:val="00042BE5"/>
    <w:rsid w:val="000431FC"/>
    <w:rsid w:val="00065598"/>
    <w:rsid w:val="00072B64"/>
    <w:rsid w:val="00091D46"/>
    <w:rsid w:val="000B3723"/>
    <w:rsid w:val="000E049A"/>
    <w:rsid w:val="000E5288"/>
    <w:rsid w:val="000F2E8B"/>
    <w:rsid w:val="000F4E9B"/>
    <w:rsid w:val="000F567B"/>
    <w:rsid w:val="00101EC4"/>
    <w:rsid w:val="00136B29"/>
    <w:rsid w:val="001467A2"/>
    <w:rsid w:val="00147D35"/>
    <w:rsid w:val="0016410E"/>
    <w:rsid w:val="00171B14"/>
    <w:rsid w:val="001760D2"/>
    <w:rsid w:val="001A1146"/>
    <w:rsid w:val="001B05A4"/>
    <w:rsid w:val="001C3889"/>
    <w:rsid w:val="00213A3C"/>
    <w:rsid w:val="002155B0"/>
    <w:rsid w:val="00237BCA"/>
    <w:rsid w:val="00244AAF"/>
    <w:rsid w:val="00246E5B"/>
    <w:rsid w:val="00283E06"/>
    <w:rsid w:val="002A3B33"/>
    <w:rsid w:val="00300A49"/>
    <w:rsid w:val="003320B4"/>
    <w:rsid w:val="003436FB"/>
    <w:rsid w:val="00343C60"/>
    <w:rsid w:val="00360C44"/>
    <w:rsid w:val="00376ED4"/>
    <w:rsid w:val="0038289D"/>
    <w:rsid w:val="003831BC"/>
    <w:rsid w:val="0038714D"/>
    <w:rsid w:val="003A5CA3"/>
    <w:rsid w:val="003B5817"/>
    <w:rsid w:val="003D7E03"/>
    <w:rsid w:val="003E0678"/>
    <w:rsid w:val="003E3FA5"/>
    <w:rsid w:val="003E4556"/>
    <w:rsid w:val="00403A80"/>
    <w:rsid w:val="0049373D"/>
    <w:rsid w:val="004B428D"/>
    <w:rsid w:val="004E2FB3"/>
    <w:rsid w:val="004F7BBD"/>
    <w:rsid w:val="005078AC"/>
    <w:rsid w:val="00513748"/>
    <w:rsid w:val="00517522"/>
    <w:rsid w:val="00517D3D"/>
    <w:rsid w:val="00521D17"/>
    <w:rsid w:val="005222E9"/>
    <w:rsid w:val="00563643"/>
    <w:rsid w:val="00564A44"/>
    <w:rsid w:val="00575F5A"/>
    <w:rsid w:val="00583CDD"/>
    <w:rsid w:val="00590C5D"/>
    <w:rsid w:val="005A3173"/>
    <w:rsid w:val="005C11D6"/>
    <w:rsid w:val="005D05F7"/>
    <w:rsid w:val="005D6AA7"/>
    <w:rsid w:val="00607A8C"/>
    <w:rsid w:val="00610FA4"/>
    <w:rsid w:val="00676A2B"/>
    <w:rsid w:val="006A70F9"/>
    <w:rsid w:val="006B4113"/>
    <w:rsid w:val="006C12A9"/>
    <w:rsid w:val="006C45B8"/>
    <w:rsid w:val="006C6039"/>
    <w:rsid w:val="006C755F"/>
    <w:rsid w:val="006D6223"/>
    <w:rsid w:val="006E0305"/>
    <w:rsid w:val="006E2734"/>
    <w:rsid w:val="006F7A51"/>
    <w:rsid w:val="00717319"/>
    <w:rsid w:val="00735543"/>
    <w:rsid w:val="00757073"/>
    <w:rsid w:val="00772164"/>
    <w:rsid w:val="007C51E4"/>
    <w:rsid w:val="007E12D3"/>
    <w:rsid w:val="007E1358"/>
    <w:rsid w:val="007E48E7"/>
    <w:rsid w:val="008304CF"/>
    <w:rsid w:val="0083320B"/>
    <w:rsid w:val="0083670B"/>
    <w:rsid w:val="0084569B"/>
    <w:rsid w:val="00855881"/>
    <w:rsid w:val="0086303D"/>
    <w:rsid w:val="008717E1"/>
    <w:rsid w:val="008777F5"/>
    <w:rsid w:val="0089136A"/>
    <w:rsid w:val="008E2794"/>
    <w:rsid w:val="008E53B8"/>
    <w:rsid w:val="008F1E21"/>
    <w:rsid w:val="00913AF2"/>
    <w:rsid w:val="00920D77"/>
    <w:rsid w:val="00935252"/>
    <w:rsid w:val="00975C0F"/>
    <w:rsid w:val="00980758"/>
    <w:rsid w:val="009E0564"/>
    <w:rsid w:val="00A03490"/>
    <w:rsid w:val="00A06C64"/>
    <w:rsid w:val="00A103FA"/>
    <w:rsid w:val="00A261BF"/>
    <w:rsid w:val="00A43FAC"/>
    <w:rsid w:val="00A95919"/>
    <w:rsid w:val="00AA74E8"/>
    <w:rsid w:val="00AE5085"/>
    <w:rsid w:val="00B1477A"/>
    <w:rsid w:val="00B40626"/>
    <w:rsid w:val="00B72F89"/>
    <w:rsid w:val="00B83CAD"/>
    <w:rsid w:val="00B8607F"/>
    <w:rsid w:val="00BA3AA1"/>
    <w:rsid w:val="00BC4AEF"/>
    <w:rsid w:val="00BD01E0"/>
    <w:rsid w:val="00BE6A6E"/>
    <w:rsid w:val="00BF7EF7"/>
    <w:rsid w:val="00C52FD4"/>
    <w:rsid w:val="00C62B38"/>
    <w:rsid w:val="00C62D2B"/>
    <w:rsid w:val="00C62DB3"/>
    <w:rsid w:val="00C64C94"/>
    <w:rsid w:val="00C74B67"/>
    <w:rsid w:val="00C84989"/>
    <w:rsid w:val="00CA22D1"/>
    <w:rsid w:val="00CC763A"/>
    <w:rsid w:val="00D17332"/>
    <w:rsid w:val="00D477FA"/>
    <w:rsid w:val="00D62158"/>
    <w:rsid w:val="00DE027C"/>
    <w:rsid w:val="00E04D5F"/>
    <w:rsid w:val="00E20C68"/>
    <w:rsid w:val="00E30D0C"/>
    <w:rsid w:val="00E56BA0"/>
    <w:rsid w:val="00E7651E"/>
    <w:rsid w:val="00E97305"/>
    <w:rsid w:val="00EC26D7"/>
    <w:rsid w:val="00EC4E13"/>
    <w:rsid w:val="00ED604B"/>
    <w:rsid w:val="00F12DB3"/>
    <w:rsid w:val="00F351F0"/>
    <w:rsid w:val="00F64EA0"/>
    <w:rsid w:val="00F879AF"/>
    <w:rsid w:val="00F9110C"/>
    <w:rsid w:val="00FA1A1A"/>
    <w:rsid w:val="00FB3383"/>
    <w:rsid w:val="00FC11E4"/>
    <w:rsid w:val="00FC1A26"/>
    <w:rsid w:val="00FC5C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4"/>
    <o:shapelayout v:ext="edit">
      <o:idmap v:ext="edit" data="1"/>
    </o:shapelayout>
  </w:shapeDefaults>
  <w:decimalSymbol w:val="."/>
  <w:listSeparator w:val=","/>
  <w14:docId w14:val="395A4EE7"/>
  <w15:docId w15:val="{600AD091-2DE9-4B10-9C0D-155FE146C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89136A"/>
  </w:style>
  <w:style w:type="paragraph" w:styleId="Ttulo2">
    <w:name w:val="heading 2"/>
    <w:basedOn w:val="Normal"/>
    <w:next w:val="Normal"/>
    <w:link w:val="Ttulo2Char"/>
    <w:qFormat/>
    <w:rsid w:val="00A43FAC"/>
    <w:pPr>
      <w:keepNext/>
      <w:jc w:val="center"/>
      <w:outlineLvl w:val="1"/>
    </w:pPr>
    <w:rPr>
      <w:rFonts w:ascii="Times New Roman" w:eastAsia="Times New Roman" w:hAnsi="Times New Roman" w:cs="Times New Roman"/>
      <w:sz w:val="32"/>
      <w:szCs w:val="20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D62158"/>
    <w:pPr>
      <w:tabs>
        <w:tab w:val="center" w:pos="4320"/>
        <w:tab w:val="right" w:pos="8640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62158"/>
  </w:style>
  <w:style w:type="paragraph" w:styleId="Rodap">
    <w:name w:val="footer"/>
    <w:basedOn w:val="Normal"/>
    <w:link w:val="RodapChar"/>
    <w:uiPriority w:val="99"/>
    <w:unhideWhenUsed/>
    <w:rsid w:val="00D62158"/>
    <w:pPr>
      <w:tabs>
        <w:tab w:val="center" w:pos="4320"/>
        <w:tab w:val="right" w:pos="8640"/>
      </w:tabs>
    </w:pPr>
  </w:style>
  <w:style w:type="character" w:customStyle="1" w:styleId="RodapChar">
    <w:name w:val="Rodapé Char"/>
    <w:basedOn w:val="Fontepargpadro"/>
    <w:link w:val="Rodap"/>
    <w:uiPriority w:val="99"/>
    <w:rsid w:val="00D62158"/>
  </w:style>
  <w:style w:type="paragraph" w:styleId="Textodebalo">
    <w:name w:val="Balloon Text"/>
    <w:basedOn w:val="Normal"/>
    <w:link w:val="TextodebaloChar"/>
    <w:uiPriority w:val="99"/>
    <w:semiHidden/>
    <w:unhideWhenUsed/>
    <w:rsid w:val="00D62158"/>
    <w:rPr>
      <w:rFonts w:ascii="Lucida Grande" w:hAnsi="Lucida Grande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62158"/>
    <w:rPr>
      <w:rFonts w:ascii="Lucida Grande" w:hAnsi="Lucida Grande"/>
      <w:sz w:val="18"/>
      <w:szCs w:val="18"/>
    </w:rPr>
  </w:style>
  <w:style w:type="table" w:styleId="Tabelacomgrade">
    <w:name w:val="Table Grid"/>
    <w:basedOn w:val="Tabelanormal"/>
    <w:uiPriority w:val="59"/>
    <w:rsid w:val="00BE6A6E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tulo2Char">
    <w:name w:val="Título 2 Char"/>
    <w:basedOn w:val="Fontepargpadro"/>
    <w:link w:val="Ttulo2"/>
    <w:rsid w:val="00A43FAC"/>
    <w:rPr>
      <w:rFonts w:ascii="Times New Roman" w:eastAsia="Times New Roman" w:hAnsi="Times New Roman" w:cs="Times New Roman"/>
      <w:sz w:val="32"/>
      <w:szCs w:val="20"/>
      <w:lang w:val="pt-PT"/>
    </w:rPr>
  </w:style>
  <w:style w:type="character" w:styleId="Hyperlink">
    <w:name w:val="Hyperlink"/>
    <w:rsid w:val="00A43FAC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A43FAC"/>
    <w:pPr>
      <w:ind w:left="720"/>
    </w:pPr>
    <w:rPr>
      <w:rFonts w:ascii="Times New Roman" w:eastAsia="Times New Roman" w:hAnsi="Times New Roman" w:cs="Times New Roman"/>
      <w:sz w:val="20"/>
      <w:szCs w:val="20"/>
      <w:lang w:val="pt-PT"/>
    </w:rPr>
  </w:style>
  <w:style w:type="paragraph" w:customStyle="1" w:styleId="Style">
    <w:name w:val="Style"/>
    <w:rsid w:val="00717319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</w:rPr>
  </w:style>
  <w:style w:type="character" w:customStyle="1" w:styleId="Titulonorma">
    <w:name w:val="Titulo_norma"/>
    <w:basedOn w:val="Fontepargpadro"/>
    <w:uiPriority w:val="1"/>
    <w:rsid w:val="00717319"/>
    <w:rPr>
      <w:rFonts w:ascii="Times New Roman" w:hAnsi="Times New Roman" w:cs="Times New Roman" w:hint="default"/>
      <w:b/>
      <w:bCs w:val="0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61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tiff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F9E17CC-60DC-4BE4-9454-D5A2811793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1</Pages>
  <Words>1627</Words>
  <Characters>9275</Characters>
  <Application>Microsoft Office Word</Application>
  <DocSecurity>0</DocSecurity>
  <Lines>77</Lines>
  <Paragraphs>21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INNOQ</Company>
  <LinksUpToDate>false</LinksUpToDate>
  <CharactersWithSpaces>10881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Elisio Mabunda</dc:creator>
  <cp:lastModifiedBy>Hercilio Gladiador</cp:lastModifiedBy>
  <cp:revision>52</cp:revision>
  <cp:lastPrinted>2016-03-22T09:46:00Z</cp:lastPrinted>
  <dcterms:created xsi:type="dcterms:W3CDTF">2017-05-02T07:34:00Z</dcterms:created>
  <dcterms:modified xsi:type="dcterms:W3CDTF">2017-09-29T07:01:00Z</dcterms:modified>
</cp:coreProperties>
</file>